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59b40172fc5694737951b7f9f6913590c15ead"/>
      <w:r>
        <w:t xml:space="preserve">Analisi del Mercato e delle Opportunità nel Settore dei Materiali 2D e del Grafene</w:t>
      </w:r>
      <w:bookmarkEnd w:id="20"/>
    </w:p>
    <w:p>
      <w:pPr>
        <w:pStyle w:val="Heading2"/>
      </w:pPr>
      <w:bookmarkStart w:id="21" w:name="panoramica-del-mercato-globale"/>
      <w:r>
        <w:t xml:space="preserve">Panoramica del Mercato Globale</w:t>
      </w:r>
      <w:bookmarkEnd w:id="21"/>
    </w:p>
    <w:p>
      <w:pPr>
        <w:pStyle w:val="FirstParagraph"/>
      </w:pPr>
      <w:r>
        <w:t xml:space="preserve">Il mercato dei materiali 2D, con il grafene in prima linea, sta attraversando una fase di rapida crescita e trasformazione. Secondo le più recenti analisi di mercato, questo settore rappresenta una delle opportunità più promettenti per investimenti e sviluppo di nuove imprese nei prossimi anni.</w:t>
      </w:r>
    </w:p>
    <w:p>
      <w:pPr>
        <w:pStyle w:val="Heading3"/>
      </w:pPr>
      <w:bookmarkStart w:id="22" w:name="dimensioni-e-crescita-del-mercato"/>
      <w:r>
        <w:t xml:space="preserve">Dimensioni e Crescita del Mercato</w:t>
      </w:r>
      <w:bookmarkEnd w:id="22"/>
    </w:p>
    <w:p>
      <w:pPr>
        <w:pStyle w:val="FirstParagraph"/>
      </w:pPr>
      <w:r>
        <w:t xml:space="preserve">Secondo i dati raccolti da diverse fonti autorevoli, il mercato del grafene mostra tendenze di crescita significative:</w:t>
      </w:r>
    </w:p>
    <w:p>
      <w:pPr>
        <w:numPr>
          <w:ilvl w:val="0"/>
          <w:numId w:val="1001"/>
        </w:numPr>
      </w:pPr>
      <w:r>
        <w:rPr>
          <w:b/>
        </w:rPr>
        <w:t xml:space="preserve">Exactitude Consultancy</w:t>
      </w:r>
      <w:r>
        <w:t xml:space="preserve">: Prevede che il mercato globale del grafene crescerà a un tasso composto annuo (CAGR) del 15,7% dal 2022 al 2029, raggiungendo oltre 2.155 milioni di dollari entro il 2029.</w:t>
      </w:r>
    </w:p>
    <w:p>
      <w:pPr>
        <w:numPr>
          <w:ilvl w:val="0"/>
          <w:numId w:val="1001"/>
        </w:numPr>
      </w:pPr>
      <w:r>
        <w:rPr>
          <w:b/>
        </w:rPr>
        <w:t xml:space="preserve">ForInsights Consultancy</w:t>
      </w:r>
      <w:r>
        <w:t xml:space="preserve">: Stima una crescita ancora più rapida, con un CAGR del 35%, proiettando il mercato dagli attuali 1,3 miliardi di dollari nel 2023 a 1.109 miliardi di dollari entro il 2030.</w:t>
      </w:r>
    </w:p>
    <w:p>
      <w:pPr>
        <w:numPr>
          <w:ilvl w:val="0"/>
          <w:numId w:val="1001"/>
        </w:numPr>
      </w:pPr>
      <w:r>
        <w:rPr>
          <w:b/>
        </w:rPr>
        <w:t xml:space="preserve">IDTechEx</w:t>
      </w:r>
      <w:r>
        <w:t xml:space="preserve">: Prevede che il mercato del grafene supererà 1,6 miliardi di dollari entro il 2034, con previsioni granulari per 18 aree di applicazione chiave.</w:t>
      </w:r>
    </w:p>
    <w:p>
      <w:pPr>
        <w:pStyle w:val="FirstParagraph"/>
      </w:pPr>
      <w:r>
        <w:t xml:space="preserve">Queste proiezioni, sebbene variabili, concordano su un punto fondamentale: il mercato del grafene e dei materiali 2D è destinato a una crescita esponenziale nei prossimi anni, offrendo significative opportunità per nuove imprese e investimenti.</w:t>
      </w:r>
    </w:p>
    <w:p>
      <w:pPr>
        <w:pStyle w:val="Heading3"/>
      </w:pPr>
      <w:bookmarkStart w:id="23" w:name="capacità-produttiva-e-tecnologie"/>
      <w:r>
        <w:t xml:space="preserve">Capacità Produttiva e Tecnologie</w:t>
      </w:r>
      <w:bookmarkEnd w:id="23"/>
    </w:p>
    <w:p>
      <w:pPr>
        <w:pStyle w:val="FirstParagraph"/>
      </w:pPr>
      <w:r>
        <w:t xml:space="preserve">Secondo IDTechEx, la capacità di produzione globale di grafene supera attualmente le 12.000 tonnellate all’anno (tpa). La quasi totalità di questa produzione proviene da materie prime di grafite e utilizza un approccio top-down, con l’esfoliazione in fase liquida e l’ossidoriduzione come processi dominanti.</w:t>
      </w:r>
    </w:p>
    <w:p>
      <w:pPr>
        <w:pStyle w:val="BodyText"/>
      </w:pPr>
      <w:r>
        <w:t xml:space="preserve">Le nanopiastrine di grafene (GNP), l’ossido di grafene (GO) e l’ossido di grafene ridotto (rGO) sono le forme più vicine a un significativo assorbimento commerciale. Ci sono segnali crescenti che il settore è entrato in una fase di rapida crescita, con applicazioni significative già osservate in diversi settori industriali.</w:t>
      </w:r>
    </w:p>
    <w:p>
      <w:pPr>
        <w:pStyle w:val="Heading2"/>
      </w:pPr>
      <w:bookmarkStart w:id="24" w:name="segmentazione-del-mercato"/>
      <w:r>
        <w:t xml:space="preserve">Segmentazione del Mercato</w:t>
      </w:r>
      <w:bookmarkEnd w:id="24"/>
    </w:p>
    <w:p>
      <w:pPr>
        <w:pStyle w:val="Heading3"/>
      </w:pPr>
      <w:bookmarkStart w:id="25" w:name="per-tipo-di-prodotto"/>
      <w:r>
        <w:t xml:space="preserve">Per Tipo di Prodotto</w:t>
      </w:r>
      <w:bookmarkEnd w:id="25"/>
    </w:p>
    <w:p>
      <w:pPr>
        <w:pStyle w:val="FirstParagraph"/>
      </w:pPr>
      <w:r>
        <w:t xml:space="preserve">Il mercato del grafene è segmentato in base al tipo di prodotto in:</w:t>
      </w:r>
    </w:p>
    <w:p>
      <w:pPr>
        <w:numPr>
          <w:ilvl w:val="0"/>
          <w:numId w:val="1002"/>
        </w:numPr>
      </w:pPr>
      <w:r>
        <w:rPr>
          <w:b/>
        </w:rPr>
        <w:t xml:space="preserve">Grafene sfuso (Bulk Graphene)</w:t>
      </w:r>
      <w:r>
        <w:t xml:space="preserve">: Rappresenta la maggior parte del mercato globale del grafene. Include nanopiastrine di grafene (GNP), ossido di grafene, ossido di grafene ridotto e altre forme di grafene. La crescente applicazione del grafene sfuso nei compositi sta guidando la domanda.</w:t>
      </w:r>
    </w:p>
    <w:p>
      <w:pPr>
        <w:numPr>
          <w:ilvl w:val="0"/>
          <w:numId w:val="1002"/>
        </w:numPr>
      </w:pPr>
      <w:r>
        <w:rPr>
          <w:b/>
        </w:rPr>
        <w:t xml:space="preserve">Grafene monostrato e bistrato</w:t>
      </w:r>
      <w:r>
        <w:t xml:space="preserve">: Utilizzato principalmente nella ricerca e nelle applicazioni high-tech, sfruttando le sue eccezionali proprietà elettroniche.</w:t>
      </w:r>
    </w:p>
    <w:p>
      <w:pPr>
        <w:pStyle w:val="Heading3"/>
      </w:pPr>
      <w:bookmarkStart w:id="26" w:name="per-applicazione"/>
      <w:r>
        <w:t xml:space="preserve">Per Applicazione</w:t>
      </w:r>
      <w:bookmarkEnd w:id="26"/>
    </w:p>
    <w:p>
      <w:pPr>
        <w:pStyle w:val="FirstParagraph"/>
      </w:pPr>
      <w:r>
        <w:t xml:space="preserve">In base all’applicazione, il mercato è segmentato in:</w:t>
      </w:r>
    </w:p>
    <w:p>
      <w:pPr>
        <w:numPr>
          <w:ilvl w:val="0"/>
          <w:numId w:val="1003"/>
        </w:numPr>
      </w:pPr>
      <w:r>
        <w:rPr>
          <w:b/>
        </w:rPr>
        <w:t xml:space="preserve">Compositi</w:t>
      </w:r>
      <w:r>
        <w:t xml:space="preserve">: Si prevede che i compositi registreranno la crescita maggiore nei prossimi anni grazie alla loro capacità di aumentare potenza e ridurre peso. Sono utilizzati in vari settori come manifatturiero, automobilistico e aerospaziale.</w:t>
      </w:r>
    </w:p>
    <w:p>
      <w:pPr>
        <w:numPr>
          <w:ilvl w:val="0"/>
          <w:numId w:val="1003"/>
        </w:numPr>
      </w:pPr>
      <w:r>
        <w:rPr>
          <w:b/>
        </w:rPr>
        <w:t xml:space="preserve">Vernici, rivestimenti e inchiostri</w:t>
      </w:r>
      <w:r>
        <w:t xml:space="preserve">: Applicazioni che sfruttano le proprietà anticorrosive e conduttive del grafene.</w:t>
      </w:r>
    </w:p>
    <w:p>
      <w:pPr>
        <w:numPr>
          <w:ilvl w:val="0"/>
          <w:numId w:val="1003"/>
        </w:numPr>
      </w:pPr>
      <w:r>
        <w:rPr>
          <w:b/>
        </w:rPr>
        <w:t xml:space="preserve">Accumulo e raccolta di energia</w:t>
      </w:r>
      <w:r>
        <w:t xml:space="preserve">: Un settore in rapida espansione, con applicazioni in batterie, supercondensatori e celle solari.</w:t>
      </w:r>
    </w:p>
    <w:p>
      <w:pPr>
        <w:numPr>
          <w:ilvl w:val="0"/>
          <w:numId w:val="1003"/>
        </w:numPr>
      </w:pPr>
      <w:r>
        <w:rPr>
          <w:b/>
        </w:rPr>
        <w:t xml:space="preserve">Elettronica</w:t>
      </w:r>
      <w:r>
        <w:t xml:space="preserve">: Applicazioni in transistor, sensori e display flessibili.</w:t>
      </w:r>
    </w:p>
    <w:p>
      <w:pPr>
        <w:numPr>
          <w:ilvl w:val="0"/>
          <w:numId w:val="1003"/>
        </w:numPr>
      </w:pPr>
      <w:r>
        <w:rPr>
          <w:b/>
        </w:rPr>
        <w:t xml:space="preserve">Catalizzatori</w:t>
      </w:r>
      <w:r>
        <w:t xml:space="preserve">: Utilizzo del grafene come catalizzatore in processi chimici.</w:t>
      </w:r>
    </w:p>
    <w:p>
      <w:pPr>
        <w:numPr>
          <w:ilvl w:val="0"/>
          <w:numId w:val="1003"/>
        </w:numPr>
      </w:pPr>
      <w:r>
        <w:rPr>
          <w:b/>
        </w:rPr>
        <w:t xml:space="preserve">Pneumatici</w:t>
      </w:r>
      <w:r>
        <w:t xml:space="preserve">: Miglioramento delle prestazioni e della durata dei pneumatici.</w:t>
      </w:r>
    </w:p>
    <w:p>
      <w:pPr>
        <w:numPr>
          <w:ilvl w:val="0"/>
          <w:numId w:val="1003"/>
        </w:numPr>
      </w:pPr>
      <w:r>
        <w:rPr>
          <w:b/>
        </w:rPr>
        <w:t xml:space="preserve">Altri</w:t>
      </w:r>
      <w:r>
        <w:t xml:space="preserve">: Include applicazioni in biomedicina, trattamento delle acque, e altri settori emergenti.</w:t>
      </w:r>
    </w:p>
    <w:p>
      <w:pPr>
        <w:pStyle w:val="Heading3"/>
      </w:pPr>
      <w:bookmarkStart w:id="27" w:name="per-settore-di-utilizzo-finale"/>
      <w:r>
        <w:t xml:space="preserve">Per Settore di Utilizzo Finale</w:t>
      </w:r>
      <w:bookmarkEnd w:id="27"/>
    </w:p>
    <w:p>
      <w:pPr>
        <w:pStyle w:val="FirstParagraph"/>
      </w:pPr>
      <w:r>
        <w:t xml:space="preserve">Il mercato è ulteriormente segmentato per settore di utilizzo finale:</w:t>
      </w:r>
    </w:p>
    <w:p>
      <w:pPr>
        <w:numPr>
          <w:ilvl w:val="0"/>
          <w:numId w:val="1004"/>
        </w:numPr>
      </w:pPr>
      <w:r>
        <w:rPr>
          <w:b/>
        </w:rPr>
        <w:t xml:space="preserve">Automotive e trasporti</w:t>
      </w:r>
      <w:r>
        <w:t xml:space="preserve">: Utilizzo del grafene per componenti più leggeri e resistenti, migliorando l’efficienza del carburante.</w:t>
      </w:r>
    </w:p>
    <w:p>
      <w:pPr>
        <w:numPr>
          <w:ilvl w:val="0"/>
          <w:numId w:val="1004"/>
        </w:numPr>
      </w:pPr>
      <w:r>
        <w:rPr>
          <w:b/>
        </w:rPr>
        <w:t xml:space="preserve">Aerospaziale</w:t>
      </w:r>
      <w:r>
        <w:t xml:space="preserve">: Il grafene sta ridefinendo l’industria aerospaziale migliorando la funzionalità di rivestimenti e compositi utilizzati nella produzione di elicotteri, aerei, veicoli spaziali e droni.</w:t>
      </w:r>
    </w:p>
    <w:p>
      <w:pPr>
        <w:numPr>
          <w:ilvl w:val="0"/>
          <w:numId w:val="1004"/>
        </w:numPr>
      </w:pPr>
      <w:r>
        <w:rPr>
          <w:b/>
        </w:rPr>
        <w:t xml:space="preserve">Elettronica</w:t>
      </w:r>
      <w:r>
        <w:t xml:space="preserve">: Applicazioni in dispositivi elettronici avanzati.</w:t>
      </w:r>
    </w:p>
    <w:p>
      <w:pPr>
        <w:numPr>
          <w:ilvl w:val="0"/>
          <w:numId w:val="1004"/>
        </w:numPr>
      </w:pPr>
      <w:r>
        <w:rPr>
          <w:b/>
        </w:rPr>
        <w:t xml:space="preserve">Militare e difesa</w:t>
      </w:r>
      <w:r>
        <w:t xml:space="preserve">: Utilizzo per equipaggiamenti più leggeri e resistenti.</w:t>
      </w:r>
    </w:p>
    <w:p>
      <w:pPr>
        <w:numPr>
          <w:ilvl w:val="0"/>
          <w:numId w:val="1004"/>
        </w:numPr>
      </w:pPr>
      <w:r>
        <w:rPr>
          <w:b/>
        </w:rPr>
        <w:t xml:space="preserve">Altri</w:t>
      </w:r>
      <w:r>
        <w:t xml:space="preserve">: Include settori come l’energia, la biomedicina, e il trattamento delle acque.</w:t>
      </w:r>
    </w:p>
    <w:p>
      <w:pPr>
        <w:pStyle w:val="Heading3"/>
      </w:pPr>
      <w:bookmarkStart w:id="28" w:name="per-regione-geografica"/>
      <w:r>
        <w:t xml:space="preserve">Per Regione Geografica</w:t>
      </w:r>
      <w:bookmarkEnd w:id="28"/>
    </w:p>
    <w:p>
      <w:pPr>
        <w:pStyle w:val="FirstParagraph"/>
      </w:pPr>
      <w:r>
        <w:t xml:space="preserve">Il mercato del grafene mostra una distribuzione geografica significativa:</w:t>
      </w:r>
    </w:p>
    <w:p>
      <w:pPr>
        <w:numPr>
          <w:ilvl w:val="0"/>
          <w:numId w:val="1005"/>
        </w:numPr>
      </w:pPr>
      <w:r>
        <w:rPr>
          <w:b/>
        </w:rPr>
        <w:t xml:space="preserve">Nord America</w:t>
      </w:r>
      <w:r>
        <w:t xml:space="preserve">: Con gli Stati Uniti come principale mercato, seguiti da Canada e Messico.</w:t>
      </w:r>
    </w:p>
    <w:p>
      <w:pPr>
        <w:numPr>
          <w:ilvl w:val="0"/>
          <w:numId w:val="1005"/>
        </w:numPr>
      </w:pPr>
      <w:r>
        <w:rPr>
          <w:b/>
        </w:rPr>
        <w:t xml:space="preserve">Europa</w:t>
      </w:r>
      <w:r>
        <w:t xml:space="preserve">: Germania, Regno Unito, Francia, Italia, Spagna e Russia sono i principali mercati.</w:t>
      </w:r>
    </w:p>
    <w:p>
      <w:pPr>
        <w:numPr>
          <w:ilvl w:val="0"/>
          <w:numId w:val="1005"/>
        </w:numPr>
      </w:pPr>
      <w:r>
        <w:rPr>
          <w:b/>
        </w:rPr>
        <w:t xml:space="preserve">Asia-Pacifico</w:t>
      </w:r>
      <w:r>
        <w:t xml:space="preserve">: La Cina è diventata un territorio significativo in termini di capacità di produzione e ricerca, seguita da Giappone, Corea del Sud, India e Australia.</w:t>
      </w:r>
    </w:p>
    <w:p>
      <w:pPr>
        <w:numPr>
          <w:ilvl w:val="0"/>
          <w:numId w:val="1005"/>
        </w:numPr>
      </w:pPr>
      <w:r>
        <w:rPr>
          <w:b/>
        </w:rPr>
        <w:t xml:space="preserve">Resto del mondo</w:t>
      </w:r>
      <w:r>
        <w:t xml:space="preserve">: Include Sud America, Medio Oriente e Africa.</w:t>
      </w:r>
    </w:p>
    <w:p>
      <w:pPr>
        <w:pStyle w:val="Heading2"/>
      </w:pPr>
      <w:bookmarkStart w:id="29" w:name="principali-attori-del-mercato"/>
      <w:r>
        <w:t xml:space="preserve">Principali Attori del Mercato</w:t>
      </w:r>
      <w:bookmarkEnd w:id="29"/>
    </w:p>
    <w:p>
      <w:pPr>
        <w:pStyle w:val="FirstParagraph"/>
      </w:pPr>
      <w:r>
        <w:t xml:space="preserve">Il mercato del grafene è caratterizzato da un panorama competitivo dinamico con numerosi attori. Tra i principali:</w:t>
      </w:r>
    </w:p>
    <w:p>
      <w:pPr>
        <w:numPr>
          <w:ilvl w:val="0"/>
          <w:numId w:val="1006"/>
        </w:numPr>
        <w:pStyle w:val="Compact"/>
      </w:pPr>
      <w:r>
        <w:rPr>
          <w:b/>
        </w:rPr>
        <w:t xml:space="preserve">NanoXplore Inc.</w:t>
      </w:r>
      <w:r>
        <w:t xml:space="preserve"> </w:t>
      </w:r>
      <w:r>
        <w:t xml:space="preserve">(Stati Uniti)</w:t>
      </w:r>
    </w:p>
    <w:p>
      <w:pPr>
        <w:numPr>
          <w:ilvl w:val="0"/>
          <w:numId w:val="1006"/>
        </w:numPr>
        <w:pStyle w:val="Compact"/>
      </w:pPr>
      <w:r>
        <w:rPr>
          <w:b/>
        </w:rPr>
        <w:t xml:space="preserve">Graphenea SA</w:t>
      </w:r>
      <w:r>
        <w:t xml:space="preserve"> </w:t>
      </w:r>
      <w:r>
        <w:t xml:space="preserve">(Spagna)</w:t>
      </w:r>
    </w:p>
    <w:p>
      <w:pPr>
        <w:numPr>
          <w:ilvl w:val="0"/>
          <w:numId w:val="1006"/>
        </w:numPr>
        <w:pStyle w:val="Compact"/>
      </w:pPr>
      <w:r>
        <w:rPr>
          <w:b/>
        </w:rPr>
        <w:t xml:space="preserve">Avanzare Innovacion Tecnologica SL</w:t>
      </w:r>
      <w:r>
        <w:t xml:space="preserve"> </w:t>
      </w:r>
      <w:r>
        <w:t xml:space="preserve">(Spagna)</w:t>
      </w:r>
    </w:p>
    <w:p>
      <w:pPr>
        <w:numPr>
          <w:ilvl w:val="0"/>
          <w:numId w:val="1006"/>
        </w:numPr>
        <w:pStyle w:val="Compact"/>
      </w:pPr>
      <w:r>
        <w:rPr>
          <w:b/>
        </w:rPr>
        <w:t xml:space="preserve">Global Graphene Group</w:t>
      </w:r>
      <w:r>
        <w:t xml:space="preserve"> </w:t>
      </w:r>
      <w:r>
        <w:t xml:space="preserve">(Stati Uniti)</w:t>
      </w:r>
    </w:p>
    <w:p>
      <w:pPr>
        <w:numPr>
          <w:ilvl w:val="0"/>
          <w:numId w:val="1006"/>
        </w:numPr>
        <w:pStyle w:val="Compact"/>
      </w:pPr>
      <w:r>
        <w:rPr>
          <w:b/>
        </w:rPr>
        <w:t xml:space="preserve">Directa Plus SpA</w:t>
      </w:r>
      <w:r>
        <w:t xml:space="preserve"> </w:t>
      </w:r>
      <w:r>
        <w:t xml:space="preserve">(Italia)</w:t>
      </w:r>
    </w:p>
    <w:p>
      <w:pPr>
        <w:numPr>
          <w:ilvl w:val="0"/>
          <w:numId w:val="1006"/>
        </w:numPr>
        <w:pStyle w:val="Compact"/>
      </w:pPr>
      <w:r>
        <w:rPr>
          <w:b/>
        </w:rPr>
        <w:t xml:space="preserve">Haydale Graphene Industries Plc</w:t>
      </w:r>
      <w:r>
        <w:t xml:space="preserve"> </w:t>
      </w:r>
      <w:r>
        <w:t xml:space="preserve">(Italia)</w:t>
      </w:r>
    </w:p>
    <w:p>
      <w:pPr>
        <w:numPr>
          <w:ilvl w:val="0"/>
          <w:numId w:val="1006"/>
        </w:numPr>
        <w:pStyle w:val="Compact"/>
      </w:pPr>
      <w:r>
        <w:rPr>
          <w:b/>
        </w:rPr>
        <w:t xml:space="preserve">Changzhou Sixth Element Materials Technology Co., Ltd.</w:t>
      </w:r>
      <w:r>
        <w:t xml:space="preserve"> </w:t>
      </w:r>
      <w:r>
        <w:t xml:space="preserve">(Cina)</w:t>
      </w:r>
    </w:p>
    <w:p>
      <w:pPr>
        <w:numPr>
          <w:ilvl w:val="0"/>
          <w:numId w:val="1006"/>
        </w:numPr>
        <w:pStyle w:val="Compact"/>
      </w:pPr>
      <w:r>
        <w:rPr>
          <w:b/>
        </w:rPr>
        <w:t xml:space="preserve">Ningbo Morsh Technology Co., Ltd.</w:t>
      </w:r>
      <w:r>
        <w:t xml:space="preserve"> </w:t>
      </w:r>
      <w:r>
        <w:t xml:space="preserve">(Cina)</w:t>
      </w:r>
    </w:p>
    <w:p>
      <w:pPr>
        <w:numPr>
          <w:ilvl w:val="0"/>
          <w:numId w:val="1006"/>
        </w:numPr>
        <w:pStyle w:val="Compact"/>
      </w:pPr>
      <w:r>
        <w:rPr>
          <w:b/>
        </w:rPr>
        <w:t xml:space="preserve">Nanjing XFNANO Materials Co., Ltd.</w:t>
      </w:r>
    </w:p>
    <w:p>
      <w:pPr>
        <w:numPr>
          <w:ilvl w:val="0"/>
          <w:numId w:val="1006"/>
        </w:numPr>
        <w:pStyle w:val="Compact"/>
      </w:pPr>
      <w:r>
        <w:rPr>
          <w:b/>
        </w:rPr>
        <w:t xml:space="preserve">Xiamen Knano Graphene Technology Corporation Limited</w:t>
      </w:r>
      <w:r>
        <w:t xml:space="preserve"> </w:t>
      </w:r>
      <w:r>
        <w:t xml:space="preserve">(Cina)</w:t>
      </w:r>
    </w:p>
    <w:p>
      <w:pPr>
        <w:numPr>
          <w:ilvl w:val="0"/>
          <w:numId w:val="1006"/>
        </w:numPr>
        <w:pStyle w:val="Compact"/>
      </w:pPr>
      <w:r>
        <w:rPr>
          <w:b/>
        </w:rPr>
        <w:t xml:space="preserve">JCNANO Tech Co., Ltd.</w:t>
      </w:r>
      <w:r>
        <w:t xml:space="preserve"> </w:t>
      </w:r>
      <w:r>
        <w:t xml:space="preserve">(Cina)</w:t>
      </w:r>
    </w:p>
    <w:p>
      <w:pPr>
        <w:pStyle w:val="FirstParagraph"/>
      </w:pPr>
      <w:r>
        <w:t xml:space="preserve">È importante notare che ci sono attualmente un numero molto elevato di produttori di grafene, ma si prevede che questo non sarà il caso nel lungo termine, poiché il successo significativo porterà al consolidamento del settore.</w:t>
      </w:r>
    </w:p>
    <w:p>
      <w:pPr>
        <w:pStyle w:val="Heading2"/>
      </w:pPr>
      <w:bookmarkStart w:id="30" w:name="X889e21ad5a52eaa9929e544a3dc9310b2b54e56"/>
      <w:r>
        <w:t xml:space="preserve">Tendenze di Mercato e Fattori di Crescita</w:t>
      </w:r>
      <w:bookmarkEnd w:id="30"/>
    </w:p>
    <w:p>
      <w:pPr>
        <w:pStyle w:val="Heading3"/>
      </w:pPr>
      <w:bookmarkStart w:id="31" w:name="tendenze-chiave"/>
      <w:r>
        <w:t xml:space="preserve">Tendenze Chiave</w:t>
      </w:r>
      <w:bookmarkEnd w:id="31"/>
    </w:p>
    <w:p>
      <w:pPr>
        <w:numPr>
          <w:ilvl w:val="0"/>
          <w:numId w:val="1007"/>
        </w:numPr>
      </w:pPr>
      <w:r>
        <w:rPr>
          <w:b/>
        </w:rPr>
        <w:t xml:space="preserve">Progressi Tecnologici</w:t>
      </w:r>
      <w:r>
        <w:t xml:space="preserve">: Le proprietà elettriche e meccaniche uniche del grafene stanno guidando l’innovazione nei settori dell’elettronica, dell’accumulo di energia e della scienza dei materiali.</w:t>
      </w:r>
    </w:p>
    <w:p>
      <w:pPr>
        <w:numPr>
          <w:ilvl w:val="0"/>
          <w:numId w:val="1007"/>
        </w:numPr>
      </w:pPr>
      <w:r>
        <w:rPr>
          <w:b/>
        </w:rPr>
        <w:t xml:space="preserve">Diversificazione delle Applicazioni</w:t>
      </w:r>
      <w:r>
        <w:t xml:space="preserve">: La versatilità del materiale sta aprendo nuove opportunità in diversi settori, tra cui l’elettronica, l’energia, l’assistenza sanitaria e il trattamento delle acque.</w:t>
      </w:r>
    </w:p>
    <w:p>
      <w:pPr>
        <w:numPr>
          <w:ilvl w:val="0"/>
          <w:numId w:val="1007"/>
        </w:numPr>
      </w:pPr>
      <w:r>
        <w:rPr>
          <w:b/>
        </w:rPr>
        <w:t xml:space="preserve">Investimenti in R&amp;S</w:t>
      </w:r>
      <w:r>
        <w:t xml:space="preserve">: Significativi investimenti nella ricerca sul grafene stanno accelerando lo sviluppo di nuovi prodotti e applicazioni.</w:t>
      </w:r>
    </w:p>
    <w:p>
      <w:pPr>
        <w:numPr>
          <w:ilvl w:val="0"/>
          <w:numId w:val="1007"/>
        </w:numPr>
      </w:pPr>
      <w:r>
        <w:rPr>
          <w:b/>
        </w:rPr>
        <w:t xml:space="preserve">Crescente Consapevolezza dei Consumatori</w:t>
      </w:r>
      <w:r>
        <w:t xml:space="preserve">: L’aumento della consapevolezza dei benefici del grafene sta stimolando l’interesse verso i prodotti che incorporano questo materiale avanzato.</w:t>
      </w:r>
    </w:p>
    <w:p>
      <w:pPr>
        <w:numPr>
          <w:ilvl w:val="0"/>
          <w:numId w:val="1007"/>
        </w:numPr>
      </w:pPr>
      <w:r>
        <w:rPr>
          <w:b/>
        </w:rPr>
        <w:t xml:space="preserve">Sostenibilità</w:t>
      </w:r>
      <w:r>
        <w:t xml:space="preserve">: Crescente interesse per l’utilizzo del grafene come soluzione abilitante per la sostenibilità, con applicazioni in polimeri ecologici, imballaggi, calcestruzzo e altri materiali.</w:t>
      </w:r>
    </w:p>
    <w:p>
      <w:pPr>
        <w:pStyle w:val="Heading3"/>
      </w:pPr>
      <w:bookmarkStart w:id="32" w:name="fattori-di-crescita"/>
      <w:r>
        <w:t xml:space="preserve">Fattori di Crescita</w:t>
      </w:r>
      <w:bookmarkEnd w:id="32"/>
    </w:p>
    <w:p>
      <w:pPr>
        <w:numPr>
          <w:ilvl w:val="0"/>
          <w:numId w:val="1008"/>
        </w:numPr>
      </w:pPr>
      <w:r>
        <w:rPr>
          <w:b/>
        </w:rPr>
        <w:t xml:space="preserve">Innovazioni nei Metodi di Produzione</w:t>
      </w:r>
      <w:r>
        <w:t xml:space="preserve">: Miglioramenti nei processi di produzione stanno aumentando la qualità e riducendo i costi del grafene.</w:t>
      </w:r>
    </w:p>
    <w:p>
      <w:pPr>
        <w:numPr>
          <w:ilvl w:val="0"/>
          <w:numId w:val="1008"/>
        </w:numPr>
      </w:pPr>
      <w:r>
        <w:rPr>
          <w:b/>
        </w:rPr>
        <w:t xml:space="preserve">Rivoluzione Elettronica</w:t>
      </w:r>
      <w:r>
        <w:t xml:space="preserve">: Le proprietà elettriche uniche del grafene lo rendono fondamentale per l’elettronica di prossima generazione.</w:t>
      </w:r>
    </w:p>
    <w:p>
      <w:pPr>
        <w:numPr>
          <w:ilvl w:val="0"/>
          <w:numId w:val="1008"/>
        </w:numPr>
      </w:pPr>
      <w:r>
        <w:rPr>
          <w:b/>
        </w:rPr>
        <w:t xml:space="preserve">Innovazioni nell’Accumulo di Energia</w:t>
      </w:r>
      <w:r>
        <w:t xml:space="preserve">: L’applicazione del grafene nelle batterie e nei supercondensatori sta rivoluzionando le soluzioni di accumulo energetico.</w:t>
      </w:r>
    </w:p>
    <w:p>
      <w:pPr>
        <w:numPr>
          <w:ilvl w:val="0"/>
          <w:numId w:val="1008"/>
        </w:numPr>
      </w:pPr>
      <w:r>
        <w:rPr>
          <w:b/>
        </w:rPr>
        <w:t xml:space="preserve">Supporto Governativo</w:t>
      </w:r>
      <w:r>
        <w:t xml:space="preserve">: Finanziamenti per la ricerca e politiche di sostegno stanno accelerando lo sviluppo e l’adozione del grafene.</w:t>
      </w:r>
    </w:p>
    <w:p>
      <w:pPr>
        <w:numPr>
          <w:ilvl w:val="0"/>
          <w:numId w:val="1008"/>
        </w:numPr>
      </w:pPr>
      <w:r>
        <w:rPr>
          <w:b/>
        </w:rPr>
        <w:t xml:space="preserve">Attenzione alla Sostenibilità</w:t>
      </w:r>
      <w:r>
        <w:t xml:space="preserve">: Il ruolo del grafene nelle tecnologie ecosostenibili ed efficienti dal punto di vista energetico è in linea con le crescenti preoccupazioni ambientali.</w:t>
      </w:r>
    </w:p>
    <w:p>
      <w:pPr>
        <w:pStyle w:val="Heading2"/>
      </w:pPr>
      <w:bookmarkStart w:id="33" w:name="sfide-e-ostacoli"/>
      <w:r>
        <w:t xml:space="preserve">Sfide e Ostacoli</w:t>
      </w:r>
      <w:bookmarkEnd w:id="33"/>
    </w:p>
    <w:p>
      <w:pPr>
        <w:pStyle w:val="FirstParagraph"/>
      </w:pPr>
      <w:r>
        <w:t xml:space="preserve">Nonostante le promettenti prospettive, il mercato del grafene deve affrontare diverse sfide:</w:t>
      </w:r>
    </w:p>
    <w:p>
      <w:pPr>
        <w:numPr>
          <w:ilvl w:val="0"/>
          <w:numId w:val="1009"/>
        </w:numPr>
      </w:pPr>
      <w:r>
        <w:rPr>
          <w:b/>
        </w:rPr>
        <w:t xml:space="preserve">Costi di Produzione Elevati</w:t>
      </w:r>
      <w:r>
        <w:t xml:space="preserve">: L’attuale processo di produzione, complesso e ad alta intensità di risorse, limita l’adozione diffusa del grafene.</w:t>
      </w:r>
    </w:p>
    <w:p>
      <w:pPr>
        <w:numPr>
          <w:ilvl w:val="0"/>
          <w:numId w:val="1009"/>
        </w:numPr>
      </w:pPr>
      <w:r>
        <w:rPr>
          <w:b/>
        </w:rPr>
        <w:t xml:space="preserve">Sfide di Integrazione</w:t>
      </w:r>
      <w:r>
        <w:t xml:space="preserve">: L’integrazione del grafene nei processi di produzione esistenti richiede notevoli competenze tecniche.</w:t>
      </w:r>
    </w:p>
    <w:p>
      <w:pPr>
        <w:numPr>
          <w:ilvl w:val="0"/>
          <w:numId w:val="1009"/>
        </w:numPr>
      </w:pPr>
      <w:r>
        <w:rPr>
          <w:b/>
        </w:rPr>
        <w:t xml:space="preserve">Problemi di Standardizzazione</w:t>
      </w:r>
      <w:r>
        <w:t xml:space="preserve">: La mancanza di metodi di produzione standardizzati e di controllo della qualità ostacola la crescita del mercato.</w:t>
      </w:r>
    </w:p>
    <w:p>
      <w:pPr>
        <w:numPr>
          <w:ilvl w:val="0"/>
          <w:numId w:val="1009"/>
        </w:numPr>
      </w:pPr>
      <w:r>
        <w:rPr>
          <w:b/>
        </w:rPr>
        <w:t xml:space="preserve">Maturità del Mercato</w:t>
      </w:r>
      <w:r>
        <w:t xml:space="preserve">: Il grafene è ancora un materiale relativamente nuovo, con una penetrazione e una conoscenza del mercato limitate.</w:t>
      </w:r>
    </w:p>
    <w:p>
      <w:pPr>
        <w:numPr>
          <w:ilvl w:val="0"/>
          <w:numId w:val="1009"/>
        </w:numPr>
      </w:pPr>
      <w:r>
        <w:rPr>
          <w:b/>
        </w:rPr>
        <w:t xml:space="preserve">Problemi Normativi e di Sicurezza</w:t>
      </w:r>
      <w:r>
        <w:t xml:space="preserve">: È fondamentale affrontare i potenziali rischi per la salute e l’ambiente associati alle nanoparticelle di grafene.</w:t>
      </w:r>
    </w:p>
    <w:p>
      <w:pPr>
        <w:numPr>
          <w:ilvl w:val="0"/>
          <w:numId w:val="1009"/>
        </w:numPr>
      </w:pPr>
      <w:r>
        <w:rPr>
          <w:b/>
        </w:rPr>
        <w:t xml:space="preserve">Panorama Competitivo</w:t>
      </w:r>
      <w:r>
        <w:t xml:space="preserve">: La concorrenza di altri materiali avanzati può avere un impatto sulla quota di mercato del grafene.</w:t>
      </w:r>
    </w:p>
    <w:p>
      <w:pPr>
        <w:pStyle w:val="Heading2"/>
      </w:pPr>
      <w:bookmarkStart w:id="34" w:name="opportunità-di-business-e-investimento"/>
      <w:r>
        <w:t xml:space="preserve">Opportunità di Business e Investimento</w:t>
      </w:r>
      <w:bookmarkEnd w:id="34"/>
    </w:p>
    <w:p>
      <w:pPr>
        <w:pStyle w:val="Heading3"/>
      </w:pPr>
      <w:bookmarkStart w:id="35" w:name="settori-con-maggior-potenziale"/>
      <w:r>
        <w:t xml:space="preserve">Settori con Maggior Potenziale</w:t>
      </w:r>
      <w:bookmarkEnd w:id="35"/>
    </w:p>
    <w:p>
      <w:pPr>
        <w:numPr>
          <w:ilvl w:val="0"/>
          <w:numId w:val="1010"/>
        </w:numPr>
      </w:pPr>
      <w:r>
        <w:rPr>
          <w:b/>
        </w:rPr>
        <w:t xml:space="preserve">Energia e Accumulo Energetico</w:t>
      </w:r>
      <w:r>
        <w:t xml:space="preserve">: Le batterie agli ioni di litio rappresentano una parte significativa del mercato dell’accumulo di energia. Sebbene il grafene svolga attualmente un ruolo minimo in questo settore, le batterie di prossima generazione con anodi di silicio potrebbero adottare il grafene come soluzione abilitante.</w:t>
      </w:r>
    </w:p>
    <w:p>
      <w:pPr>
        <w:numPr>
          <w:ilvl w:val="0"/>
          <w:numId w:val="1010"/>
        </w:numPr>
      </w:pPr>
      <w:r>
        <w:rPr>
          <w:b/>
        </w:rPr>
        <w:t xml:space="preserve">Compositi e Materiali Avanzati</w:t>
      </w:r>
      <w:r>
        <w:t xml:space="preserve">: L’aggiunta di piccole quantità di grafene a materiali come metalli, polimeri e ceramiche può creare materiali più resistenti e leggeri con elevata conducibilità elettrica e resistenza al calore.</w:t>
      </w:r>
    </w:p>
    <w:p>
      <w:pPr>
        <w:numPr>
          <w:ilvl w:val="0"/>
          <w:numId w:val="1010"/>
        </w:numPr>
      </w:pPr>
      <w:r>
        <w:rPr>
          <w:b/>
        </w:rPr>
        <w:t xml:space="preserve">Elettronica di Consumo</w:t>
      </w:r>
      <w:r>
        <w:t xml:space="preserve">: Il grafene sta già trovando applicazione nei dissipatori di calore per smartphone e altri dispositivi elettronici.</w:t>
      </w:r>
    </w:p>
    <w:p>
      <w:pPr>
        <w:numPr>
          <w:ilvl w:val="0"/>
          <w:numId w:val="1010"/>
        </w:numPr>
      </w:pPr>
      <w:r>
        <w:rPr>
          <w:b/>
        </w:rPr>
        <w:t xml:space="preserve">Automotive e Aerospaziale</w:t>
      </w:r>
      <w:r>
        <w:t xml:space="preserve">: L’utilizzo del grafene per componenti più leggeri e resistenti sta migliorando l’efficienza del carburante e riducendo le emissioni.</w:t>
      </w:r>
    </w:p>
    <w:p>
      <w:pPr>
        <w:numPr>
          <w:ilvl w:val="0"/>
          <w:numId w:val="1010"/>
        </w:numPr>
      </w:pPr>
      <w:r>
        <w:rPr>
          <w:b/>
        </w:rPr>
        <w:t xml:space="preserve">Sostenibilità e Materiali Ecologici</w:t>
      </w:r>
      <w:r>
        <w:t xml:space="preserve">: Il grafene può migliorare le prestazioni di plastiche riciclate e bioplastiche, offrendo soluzioni per imballaggi e altri prodotti sostenibili.</w:t>
      </w:r>
    </w:p>
    <w:p>
      <w:pPr>
        <w:numPr>
          <w:ilvl w:val="0"/>
          <w:numId w:val="1010"/>
        </w:numPr>
      </w:pPr>
      <w:r>
        <w:rPr>
          <w:b/>
        </w:rPr>
        <w:t xml:space="preserve">Calcestruzzo e Materiali da Costruzione</w:t>
      </w:r>
      <w:r>
        <w:t xml:space="preserve">: Il potenziale del grafene di migliorare le prestazioni del calcestruzzo e ridurre il fabbisogno di cemento sta acquisendo importanza significativa.</w:t>
      </w:r>
    </w:p>
    <w:p>
      <w:pPr>
        <w:pStyle w:val="Heading3"/>
      </w:pPr>
      <w:bookmarkStart w:id="36" w:name="modelli-di-business-promettenti"/>
      <w:r>
        <w:t xml:space="preserve">Modelli di Business Promettenti</w:t>
      </w:r>
      <w:bookmarkEnd w:id="36"/>
    </w:p>
    <w:p>
      <w:pPr>
        <w:numPr>
          <w:ilvl w:val="0"/>
          <w:numId w:val="1011"/>
        </w:numPr>
      </w:pPr>
      <w:r>
        <w:rPr>
          <w:b/>
        </w:rPr>
        <w:t xml:space="preserve">Produzione di Materiali Intermedi</w:t>
      </w:r>
      <w:r>
        <w:t xml:space="preserve">: Sviluppo di materiali intermedi a base di grafene per specifiche applicazioni industriali.</w:t>
      </w:r>
    </w:p>
    <w:p>
      <w:pPr>
        <w:numPr>
          <w:ilvl w:val="0"/>
          <w:numId w:val="1011"/>
        </w:numPr>
      </w:pPr>
      <w:r>
        <w:rPr>
          <w:b/>
        </w:rPr>
        <w:t xml:space="preserve">Soluzioni Personalizzate</w:t>
      </w:r>
      <w:r>
        <w:t xml:space="preserve">: Offerta di soluzioni su misura per settori specifici, come automotive, elettronica o energia.</w:t>
      </w:r>
    </w:p>
    <w:p>
      <w:pPr>
        <w:numPr>
          <w:ilvl w:val="0"/>
          <w:numId w:val="1011"/>
        </w:numPr>
      </w:pPr>
      <w:r>
        <w:rPr>
          <w:b/>
        </w:rPr>
        <w:t xml:space="preserve">Licenze Tecnologiche</w:t>
      </w:r>
      <w:r>
        <w:t xml:space="preserve">: Sviluppo e licenza di tecnologie proprietarie per la produzione o l’applicazione del grafene.</w:t>
      </w:r>
    </w:p>
    <w:p>
      <w:pPr>
        <w:numPr>
          <w:ilvl w:val="0"/>
          <w:numId w:val="1011"/>
        </w:numPr>
      </w:pPr>
      <w:r>
        <w:rPr>
          <w:b/>
        </w:rPr>
        <w:t xml:space="preserve">Servizi di R&amp;S</w:t>
      </w:r>
      <w:r>
        <w:t xml:space="preserve">: Fornitura di servizi di ricerca e sviluppo per aziende interessate all’integrazione del grafene nei loro prodotti.</w:t>
      </w:r>
    </w:p>
    <w:p>
      <w:pPr>
        <w:numPr>
          <w:ilvl w:val="0"/>
          <w:numId w:val="1011"/>
        </w:numPr>
      </w:pPr>
      <w:r>
        <w:rPr>
          <w:b/>
        </w:rPr>
        <w:t xml:space="preserve">Produzione Sostenibile</w:t>
      </w:r>
      <w:r>
        <w:t xml:space="preserve">: Utilizzo di materie prime alternative, come rifiuti, sottoprodotti o materiali rinnovabili, per la produzione di grafene.</w:t>
      </w:r>
    </w:p>
    <w:p>
      <w:pPr>
        <w:pStyle w:val="Heading3"/>
      </w:pPr>
      <w:bookmarkStart w:id="37" w:name="strategie-di-investimento"/>
      <w:r>
        <w:t xml:space="preserve">Strategie di Investimento</w:t>
      </w:r>
      <w:bookmarkEnd w:id="37"/>
    </w:p>
    <w:p>
      <w:pPr>
        <w:numPr>
          <w:ilvl w:val="0"/>
          <w:numId w:val="1012"/>
        </w:numPr>
      </w:pPr>
      <w:r>
        <w:rPr>
          <w:b/>
        </w:rPr>
        <w:t xml:space="preserve">Investimenti Diretti</w:t>
      </w:r>
      <w:r>
        <w:t xml:space="preserve">: Investimento in aziende che producono grafene o sviluppano applicazioni basate su questo materiale.</w:t>
      </w:r>
    </w:p>
    <w:p>
      <w:pPr>
        <w:numPr>
          <w:ilvl w:val="0"/>
          <w:numId w:val="1012"/>
        </w:numPr>
      </w:pPr>
      <w:r>
        <w:rPr>
          <w:b/>
        </w:rPr>
        <w:t xml:space="preserve">ETF Grafene</w:t>
      </w:r>
      <w:r>
        <w:t xml:space="preserve">: Investimento in fondi negoziati in borsa (ETF) che si concentrano su aziende attive nel settore del grafene.</w:t>
      </w:r>
    </w:p>
    <w:p>
      <w:pPr>
        <w:numPr>
          <w:ilvl w:val="0"/>
          <w:numId w:val="1012"/>
        </w:numPr>
      </w:pPr>
      <w:r>
        <w:rPr>
          <w:b/>
        </w:rPr>
        <w:t xml:space="preserve">Venture Capital</w:t>
      </w:r>
      <w:r>
        <w:t xml:space="preserve">: Finanziamento di startup innovative che sviluppano tecnologie basate sul grafene.</w:t>
      </w:r>
    </w:p>
    <w:p>
      <w:pPr>
        <w:numPr>
          <w:ilvl w:val="0"/>
          <w:numId w:val="1012"/>
        </w:numPr>
      </w:pPr>
      <w:r>
        <w:rPr>
          <w:b/>
        </w:rPr>
        <w:t xml:space="preserve">Partenariati Pubblico-Privati</w:t>
      </w:r>
      <w:r>
        <w:t xml:space="preserve">: Collaborazione con istituzioni pubbliche e di ricerca per lo sviluppo di applicazioni del grafene.</w:t>
      </w:r>
    </w:p>
    <w:p>
      <w:pPr>
        <w:numPr>
          <w:ilvl w:val="0"/>
          <w:numId w:val="1012"/>
        </w:numPr>
      </w:pPr>
      <w:r>
        <w:rPr>
          <w:b/>
        </w:rPr>
        <w:t xml:space="preserve">Finanziamenti Europei</w:t>
      </w:r>
      <w:r>
        <w:t xml:space="preserve">: Accesso a finanziamenti nell’ambito di iniziative come IAM4EU per progetti di ricerca e innovazione sui materiali avanzati.</w:t>
      </w:r>
    </w:p>
    <w:p>
      <w:pPr>
        <w:pStyle w:val="Heading2"/>
      </w:pPr>
      <w:bookmarkStart w:id="38" w:name="prospettive-future-e-raccomandazioni"/>
      <w:r>
        <w:t xml:space="preserve">Prospettive Future e Raccomandazioni</w:t>
      </w:r>
      <w:bookmarkEnd w:id="38"/>
    </w:p>
    <w:p>
      <w:pPr>
        <w:pStyle w:val="Heading3"/>
      </w:pPr>
      <w:bookmarkStart w:id="39" w:name="prospettive-a-breve-termine-1-3-anni"/>
      <w:r>
        <w:t xml:space="preserve">Prospettive a Breve Termine (1-3 anni)</w:t>
      </w:r>
      <w:bookmarkEnd w:id="39"/>
    </w:p>
    <w:p>
      <w:pPr>
        <w:numPr>
          <w:ilvl w:val="0"/>
          <w:numId w:val="1013"/>
        </w:numPr>
      </w:pPr>
      <w:r>
        <w:rPr>
          <w:b/>
        </w:rPr>
        <w:t xml:space="preserve">Consolidamento del Mercato</w:t>
      </w:r>
      <w:r>
        <w:t xml:space="preserve">: Si prevede un consolidamento tra i produttori di grafene, con l’emergere di attori dominanti.</w:t>
      </w:r>
    </w:p>
    <w:p>
      <w:pPr>
        <w:numPr>
          <w:ilvl w:val="0"/>
          <w:numId w:val="1013"/>
        </w:numPr>
      </w:pPr>
      <w:r>
        <w:rPr>
          <w:b/>
        </w:rPr>
        <w:t xml:space="preserve">Standardizzazione</w:t>
      </w:r>
      <w:r>
        <w:t xml:space="preserve">: Progressi nella standardizzazione dei materiali e dei processi di produzione.</w:t>
      </w:r>
    </w:p>
    <w:p>
      <w:pPr>
        <w:numPr>
          <w:ilvl w:val="0"/>
          <w:numId w:val="1013"/>
        </w:numPr>
      </w:pPr>
      <w:r>
        <w:rPr>
          <w:b/>
        </w:rPr>
        <w:t xml:space="preserve">Crescita delle Applicazioni Commerciali</w:t>
      </w:r>
      <w:r>
        <w:t xml:space="preserve">: Aumento dell’adozione del grafene in applicazioni commerciali specifiche, come compositi, rivestimenti e dispositivi elettronici.</w:t>
      </w:r>
    </w:p>
    <w:p>
      <w:pPr>
        <w:pStyle w:val="Heading3"/>
      </w:pPr>
      <w:bookmarkStart w:id="40" w:name="prospettive-a-medio-termine-3-5-anni"/>
      <w:r>
        <w:t xml:space="preserve">Prospettive a Medio Termine (3-5 anni)</w:t>
      </w:r>
      <w:bookmarkEnd w:id="40"/>
    </w:p>
    <w:p>
      <w:pPr>
        <w:numPr>
          <w:ilvl w:val="0"/>
          <w:numId w:val="1014"/>
        </w:numPr>
      </w:pPr>
      <w:r>
        <w:rPr>
          <w:b/>
        </w:rPr>
        <w:t xml:space="preserve">Riduzione dei Costi di Produzione</w:t>
      </w:r>
      <w:r>
        <w:t xml:space="preserve">: Miglioramenti nei processi di produzione porteranno a una riduzione significativa dei costi.</w:t>
      </w:r>
    </w:p>
    <w:p>
      <w:pPr>
        <w:numPr>
          <w:ilvl w:val="0"/>
          <w:numId w:val="1014"/>
        </w:numPr>
      </w:pPr>
      <w:r>
        <w:rPr>
          <w:b/>
        </w:rPr>
        <w:t xml:space="preserve">Espansione delle Applicazioni</w:t>
      </w:r>
      <w:r>
        <w:t xml:space="preserve">: Diffusione del grafene in nuovi settori e applicazioni.</w:t>
      </w:r>
    </w:p>
    <w:p>
      <w:pPr>
        <w:numPr>
          <w:ilvl w:val="0"/>
          <w:numId w:val="1014"/>
        </w:numPr>
      </w:pPr>
      <w:r>
        <w:rPr>
          <w:b/>
        </w:rPr>
        <w:t xml:space="preserve">Integrazione nella Catena del Valore</w:t>
      </w:r>
      <w:r>
        <w:t xml:space="preserve">: Maggiore integrazione del grafene nelle catene del valore esistenti.</w:t>
      </w:r>
    </w:p>
    <w:p>
      <w:pPr>
        <w:pStyle w:val="Heading3"/>
      </w:pPr>
      <w:bookmarkStart w:id="41" w:name="prospettive-a-lungo-termine-5-10-anni"/>
      <w:r>
        <w:t xml:space="preserve">Prospettive a Lungo Termine (5-10 anni)</w:t>
      </w:r>
      <w:bookmarkEnd w:id="41"/>
    </w:p>
    <w:p>
      <w:pPr>
        <w:numPr>
          <w:ilvl w:val="0"/>
          <w:numId w:val="1015"/>
        </w:numPr>
      </w:pPr>
      <w:r>
        <w:rPr>
          <w:b/>
        </w:rPr>
        <w:t xml:space="preserve">Adozione di Massa</w:t>
      </w:r>
      <w:r>
        <w:t xml:space="preserve">: Adozione diffusa del grafene in molteplici settori industriali.</w:t>
      </w:r>
    </w:p>
    <w:p>
      <w:pPr>
        <w:numPr>
          <w:ilvl w:val="0"/>
          <w:numId w:val="1015"/>
        </w:numPr>
      </w:pPr>
      <w:r>
        <w:rPr>
          <w:b/>
        </w:rPr>
        <w:t xml:space="preserve">Innovazioni Rivoluzionarie</w:t>
      </w:r>
      <w:r>
        <w:t xml:space="preserve">: Sviluppo di applicazioni rivoluzionarie basate sul grafene.</w:t>
      </w:r>
    </w:p>
    <w:p>
      <w:pPr>
        <w:numPr>
          <w:ilvl w:val="0"/>
          <w:numId w:val="1015"/>
        </w:numPr>
      </w:pPr>
      <w:r>
        <w:rPr>
          <w:b/>
        </w:rPr>
        <w:t xml:space="preserve">Sostenibilità</w:t>
      </w:r>
      <w:r>
        <w:t xml:space="preserve">: Il grafene giocherà un ruolo chiave nelle soluzioni per la sostenibilità e l’efficienza energetica.</w:t>
      </w:r>
    </w:p>
    <w:p>
      <w:pPr>
        <w:pStyle w:val="Heading3"/>
      </w:pPr>
      <w:bookmarkStart w:id="42" w:name="raccomandazioni-per-nuove-imprese"/>
      <w:r>
        <w:t xml:space="preserve">Raccomandazioni per Nuove Imprese</w:t>
      </w:r>
      <w:bookmarkEnd w:id="42"/>
    </w:p>
    <w:p>
      <w:pPr>
        <w:numPr>
          <w:ilvl w:val="0"/>
          <w:numId w:val="1016"/>
        </w:numPr>
      </w:pPr>
      <w:r>
        <w:rPr>
          <w:b/>
        </w:rPr>
        <w:t xml:space="preserve">Focalizzazione su Nicchie Specifiche</w:t>
      </w:r>
      <w:r>
        <w:t xml:space="preserve">: Concentrarsi su applicazioni specifiche del grafene in settori con elevato potenziale di crescita.</w:t>
      </w:r>
    </w:p>
    <w:p>
      <w:pPr>
        <w:numPr>
          <w:ilvl w:val="0"/>
          <w:numId w:val="1016"/>
        </w:numPr>
      </w:pPr>
      <w:r>
        <w:rPr>
          <w:b/>
        </w:rPr>
        <w:t xml:space="preserve">Sviluppo di Competenze Tecniche</w:t>
      </w:r>
      <w:r>
        <w:t xml:space="preserve">: Investire nello sviluppo di competenze tecniche specializzate nella produzione e nell’applicazione del grafene.</w:t>
      </w:r>
    </w:p>
    <w:p>
      <w:pPr>
        <w:numPr>
          <w:ilvl w:val="0"/>
          <w:numId w:val="1016"/>
        </w:numPr>
      </w:pPr>
      <w:r>
        <w:rPr>
          <w:b/>
        </w:rPr>
        <w:t xml:space="preserve">Collaborazioni Strategiche</w:t>
      </w:r>
      <w:r>
        <w:t xml:space="preserve">: Stabilire collaborazioni con istituzioni di ricerca, università e aziende consolidate.</w:t>
      </w:r>
    </w:p>
    <w:p>
      <w:pPr>
        <w:numPr>
          <w:ilvl w:val="0"/>
          <w:numId w:val="1016"/>
        </w:numPr>
      </w:pPr>
      <w:r>
        <w:rPr>
          <w:b/>
        </w:rPr>
        <w:t xml:space="preserve">Protezione della Proprietà Intellettuale</w:t>
      </w:r>
      <w:r>
        <w:t xml:space="preserve">: Sviluppare e proteggere tecnologie proprietarie.</w:t>
      </w:r>
    </w:p>
    <w:p>
      <w:pPr>
        <w:numPr>
          <w:ilvl w:val="0"/>
          <w:numId w:val="1016"/>
        </w:numPr>
      </w:pPr>
      <w:r>
        <w:rPr>
          <w:b/>
        </w:rPr>
        <w:t xml:space="preserve">Accesso a Finanziamenti</w:t>
      </w:r>
      <w:r>
        <w:t xml:space="preserve">: Sfruttare le opportunità di finanziamento disponibili a livello nazionale ed europeo.</w:t>
      </w:r>
    </w:p>
    <w:p>
      <w:pPr>
        <w:numPr>
          <w:ilvl w:val="0"/>
          <w:numId w:val="1016"/>
        </w:numPr>
      </w:pPr>
      <w:r>
        <w:rPr>
          <w:b/>
        </w:rPr>
        <w:t xml:space="preserve">Sostenibilità</w:t>
      </w:r>
      <w:r>
        <w:t xml:space="preserve">: Integrare considerazioni di sostenibilità nello sviluppo di prodotti e processi.</w:t>
      </w:r>
    </w:p>
    <w:p>
      <w:pPr>
        <w:pStyle w:val="Heading2"/>
      </w:pPr>
      <w:bookmarkStart w:id="43" w:name="conclusioni"/>
      <w:r>
        <w:t xml:space="preserve">Conclusioni</w:t>
      </w:r>
      <w:bookmarkEnd w:id="43"/>
    </w:p>
    <w:p>
      <w:pPr>
        <w:pStyle w:val="FirstParagraph"/>
      </w:pPr>
      <w:r>
        <w:t xml:space="preserve">Il mercato del grafene e dei materiali 2D rappresenta una significativa opportunità di business e investimento nei prossimi anni. Con tassi di crescita previsti tra il 15,7% e il 35% annuo, questo settore è destinato a espandersi rapidamente, offrendo numerose possibilità per nuove imprese e investitori.</w:t>
      </w:r>
    </w:p>
    <w:p>
      <w:pPr>
        <w:pStyle w:val="BodyText"/>
      </w:pPr>
      <w:r>
        <w:t xml:space="preserve">Le applicazioni del grafene spaziano dall’elettronica all’energia, dai materiali compositi alla biomedicina, con un potenziale di trasformazione in molteplici settori industriali. Nonostante le sfide legate ai costi di produzione, alla standardizzazione e all’integrazione nei processi esistenti, le prospettive a lungo termine sono estremamente promettenti.</w:t>
      </w:r>
    </w:p>
    <w:p>
      <w:pPr>
        <w:pStyle w:val="BodyText"/>
      </w:pPr>
      <w:r>
        <w:t xml:space="preserve">Per una nuova società che intende operare in questo settore, è fondamentale sviluppare una strategia chiara, focalizzandosi su applicazioni specifiche, sviluppando competenze tecniche specializzate e stabilendo collaborazioni strategiche con partner industriali e di ricerca.</w:t>
      </w:r>
    </w:p>
    <w:p>
      <w:pPr>
        <w:pStyle w:val="BodyText"/>
      </w:pPr>
      <w:r>
        <w:t xml:space="preserve">L’iniziativa IAM-I e il partenariato IAM4EU offrono inoltre importanti opportunità di networking, collaborazione e accesso a finanziamenti a livello europeo, rappresentando un contesto favorevole per lo sviluppo di nuove imprese nel settore dei materiali avanzati.</w:t>
      </w:r>
    </w:p>
    <w:p>
      <w:pPr>
        <w:pStyle w:val="Heading2"/>
      </w:pPr>
      <w:bookmarkStart w:id="44" w:name="riferimenti"/>
      <w:r>
        <w:t xml:space="preserve">Riferimenti</w:t>
      </w:r>
      <w:bookmarkEnd w:id="44"/>
    </w:p>
    <w:p>
      <w:pPr>
        <w:numPr>
          <w:ilvl w:val="0"/>
          <w:numId w:val="1017"/>
        </w:numPr>
        <w:pStyle w:val="Compact"/>
      </w:pPr>
      <w:r>
        <w:t xml:space="preserve">Exactitude Consultancy:</w:t>
      </w:r>
      <w:r>
        <w:t xml:space="preserve"> </w:t>
      </w:r>
      <w:r>
        <w:t xml:space="preserve">“</w:t>
      </w:r>
      <w:r>
        <w:t xml:space="preserve">Dimensioni e quota del mercato del grafene raggiungeranno i 2.155 milioni di dollari entro il 2029</w:t>
      </w:r>
      <w:r>
        <w:t xml:space="preserve">”</w:t>
      </w:r>
    </w:p>
    <w:p>
      <w:pPr>
        <w:numPr>
          <w:ilvl w:val="0"/>
          <w:numId w:val="1017"/>
        </w:numPr>
        <w:pStyle w:val="Compact"/>
      </w:pPr>
      <w:r>
        <w:t xml:space="preserve">ForInsights Consultancy:</w:t>
      </w:r>
      <w:r>
        <w:t xml:space="preserve"> </w:t>
      </w:r>
      <w:r>
        <w:t xml:space="preserve">“</w:t>
      </w:r>
      <w:r>
        <w:t xml:space="preserve">Rapporto sull’analisi delle tendenze del mercato del grafene</w:t>
      </w:r>
      <w:r>
        <w:t xml:space="preserve">”</w:t>
      </w:r>
    </w:p>
    <w:p>
      <w:pPr>
        <w:numPr>
          <w:ilvl w:val="0"/>
          <w:numId w:val="1017"/>
        </w:numPr>
        <w:pStyle w:val="Compact"/>
      </w:pPr>
      <w:r>
        <w:t xml:space="preserve">IDTechEx:</w:t>
      </w:r>
      <w:r>
        <w:t xml:space="preserve"> </w:t>
      </w:r>
      <w:r>
        <w:t xml:space="preserve">“</w:t>
      </w:r>
      <w:r>
        <w:t xml:space="preserve">Mercato del grafene e valutazione dei materiali 2D 2024-2034: tecnologie, mercati, attori</w:t>
      </w:r>
      <w:r>
        <w:t xml:space="preserve">”</w:t>
      </w:r>
    </w:p>
    <w:p>
      <w:pPr>
        <w:numPr>
          <w:ilvl w:val="0"/>
          <w:numId w:val="1017"/>
        </w:numPr>
        <w:pStyle w:val="Compact"/>
      </w:pPr>
      <w:r>
        <w:t xml:space="preserve">Canale Energia:</w:t>
      </w:r>
      <w:r>
        <w:t xml:space="preserve"> </w:t>
      </w:r>
      <w:r>
        <w:t xml:space="preserve">“</w:t>
      </w:r>
      <w:r>
        <w:t xml:space="preserve">Valutazione del mercato del grafene e dei materiali 2D</w:t>
      </w:r>
      <w:r>
        <w:t xml:space="preserve">”</w:t>
      </w:r>
    </w:p>
    <w:p>
      <w:pPr>
        <w:numPr>
          <w:ilvl w:val="0"/>
          <w:numId w:val="1017"/>
        </w:numPr>
        <w:pStyle w:val="Compact"/>
      </w:pPr>
      <w:r>
        <w:t xml:space="preserve">Finaria:</w:t>
      </w:r>
      <w:r>
        <w:t xml:space="preserve"> </w:t>
      </w:r>
      <w:r>
        <w:t xml:space="preserve">“</w:t>
      </w:r>
      <w:r>
        <w:t xml:space="preserve">Investire nel grafene - Puntare sul materiale del futuro</w:t>
      </w:r>
      <w:r>
        <w:t xml:space="preserve">”</w:t>
      </w:r>
    </w:p>
    <w:p>
      <w:pPr>
        <w:numPr>
          <w:ilvl w:val="0"/>
          <w:numId w:val="1017"/>
        </w:numPr>
        <w:pStyle w:val="Compact"/>
      </w:pPr>
      <w:r>
        <w:t xml:space="preserve">Innovative Advanced Materials Initiative (IAM-I)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2025-04-11T06:17:44Z</dcterms:created>
  <dcterms:modified xsi:type="dcterms:W3CDTF">2025-04-11T06:17:44Z</dcterms:modified>
</cp:coreProperties>
</file>

<file path=docProps/custom.xml><?xml version="1.0" encoding="utf-8"?>
<Properties xmlns="http://schemas.openxmlformats.org/officeDocument/2006/custom-properties" xmlns:vt="http://schemas.openxmlformats.org/officeDocument/2006/docPropsVTypes"/>
</file>