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3c7eb37b8f9f800aa57fcddb3fc9e801263934"/>
      <w:r>
        <w:t xml:space="preserve">Piano di Business: Innovazione nei Materiali 2D</w:t>
      </w:r>
      <w:bookmarkEnd w:id="20"/>
    </w:p>
    <w:p>
      <w:pPr>
        <w:pStyle w:val="Heading2"/>
      </w:pPr>
      <w:bookmarkStart w:id="21" w:name="sommario-esecutivo"/>
      <w:r>
        <w:t xml:space="preserve">Sommario Esecutivo</w:t>
      </w:r>
      <w:bookmarkEnd w:id="21"/>
    </w:p>
    <w:p>
      <w:pPr>
        <w:pStyle w:val="Heading3"/>
      </w:pPr>
      <w:bookmarkStart w:id="22" w:name="visione-aziendale"/>
      <w:r>
        <w:t xml:space="preserve">Visione Aziendale</w:t>
      </w:r>
      <w:bookmarkEnd w:id="22"/>
    </w:p>
    <w:p>
      <w:pPr>
        <w:pStyle w:val="FirstParagraph"/>
      </w:pPr>
      <w:r>
        <w:t xml:space="preserve">Creare una società innovativa specializzata nello sviluppo e nella commercializzazione di soluzioni basate su materiali 2D, con particolare focus sul grafene, per rivoluzionare settori industriali chiave attraverso materiali più performanti, efficienti e sostenibili.</w:t>
      </w:r>
    </w:p>
    <w:p>
      <w:pPr>
        <w:pStyle w:val="Heading3"/>
      </w:pPr>
      <w:bookmarkStart w:id="23" w:name="opportunità-di-mercato"/>
      <w:r>
        <w:t xml:space="preserve">Opportunità di Mercato</w:t>
      </w:r>
      <w:bookmarkEnd w:id="23"/>
    </w:p>
    <w:p>
      <w:pPr>
        <w:pStyle w:val="FirstParagraph"/>
      </w:pPr>
      <w:r>
        <w:t xml:space="preserve">Il mercato globale del grafene è in rapida espansione, con previsioni di crescita a un CAGR del 15,7-35% nei prossimi anni, raggiungendo valori tra 1,6 e 2,1 miliardi di dollari entro il 2030. Questa crescita è guidata dalla domanda di materiali avanzati in settori come energia, automotive, elettronica e materiali compositi.</w:t>
      </w:r>
    </w:p>
    <w:p>
      <w:pPr>
        <w:pStyle w:val="Heading3"/>
      </w:pPr>
      <w:bookmarkStart w:id="24" w:name="proposta-di-valore"/>
      <w:r>
        <w:t xml:space="preserve">Proposta di Valore</w:t>
      </w:r>
      <w:bookmarkEnd w:id="24"/>
    </w:p>
    <w:p>
      <w:pPr>
        <w:pStyle w:val="FirstParagraph"/>
      </w:pPr>
      <w:r>
        <w:t xml:space="preserve">La nostra società si posizionerà come partner strategico per aziende industriali che cercano di migliorare le prestazioni dei loro prodotti attraverso l’integrazione di materiali 2D. Offriremo soluzioni personalizzate, supporto tecnico specializzato e un approccio collaborativo per accelerare l’adozione di questi materiali innovativi.</w:t>
      </w:r>
    </w:p>
    <w:p>
      <w:pPr>
        <w:pStyle w:val="Heading3"/>
      </w:pPr>
      <w:bookmarkStart w:id="25" w:name="modello-di-business"/>
      <w:r>
        <w:t xml:space="preserve">Modello di Business</w:t>
      </w:r>
      <w:bookmarkEnd w:id="25"/>
    </w:p>
    <w:p>
      <w:pPr>
        <w:pStyle w:val="FirstParagraph"/>
      </w:pPr>
      <w:r>
        <w:t xml:space="preserve">Adotteremo un modello B2B focalizzato su tre aree principali:</w:t>
      </w:r>
      <w:r>
        <w:t xml:space="preserve"> </w:t>
      </w:r>
      <w:r>
        <w:t xml:space="preserve">1. Sviluppo di materiali intermedi a base di grafene per applicazioni specifiche</w:t>
      </w:r>
      <w:r>
        <w:t xml:space="preserve"> </w:t>
      </w:r>
      <w:r>
        <w:t xml:space="preserve">2. Servizi di R&amp;S e consulenza per l’integrazione di materiali 2D</w:t>
      </w:r>
      <w:r>
        <w:t xml:space="preserve"> </w:t>
      </w:r>
      <w:r>
        <w:t xml:space="preserve">3. Licenze tecnologiche per processi proprietari</w:t>
      </w:r>
    </w:p>
    <w:p>
      <w:pPr>
        <w:pStyle w:val="Heading3"/>
      </w:pPr>
      <w:bookmarkStart w:id="26" w:name="obiettivi-finanziari"/>
      <w:r>
        <w:t xml:space="preserve">Obiettivi Finanziari</w:t>
      </w:r>
      <w:bookmarkEnd w:id="26"/>
    </w:p>
    <w:p>
      <w:pPr>
        <w:pStyle w:val="FirstParagraph"/>
      </w:pPr>
      <w:r>
        <w:t xml:space="preserve">Prevediamo di raggiungere il break-even entro il terzo anno di attività, con ricavi di 2,5 milioni di euro nel quinto anno e un EBITDA del 20%.</w:t>
      </w:r>
    </w:p>
    <w:p>
      <w:pPr>
        <w:pStyle w:val="Heading2"/>
      </w:pPr>
      <w:bookmarkStart w:id="27" w:name="descrizione-dellazienda"/>
      <w:r>
        <w:t xml:space="preserve">1. Descrizione dell’Azienda</w:t>
      </w:r>
      <w:bookmarkEnd w:id="27"/>
    </w:p>
    <w:p>
      <w:pPr>
        <w:pStyle w:val="Heading3"/>
      </w:pPr>
      <w:bookmarkStart w:id="28" w:name="missione-e-visione"/>
      <w:r>
        <w:t xml:space="preserve">1.1 Missione e Visione</w:t>
      </w:r>
      <w:bookmarkEnd w:id="28"/>
    </w:p>
    <w:p>
      <w:pPr>
        <w:pStyle w:val="FirstParagraph"/>
      </w:pPr>
      <w:r>
        <w:rPr>
          <w:b/>
        </w:rPr>
        <w:t xml:space="preserve">Missione</w:t>
      </w:r>
      <w:r>
        <w:t xml:space="preserve">: Accelerare l’adozione industriale dei materiali 2D attraverso soluzioni innovative, sostenibili e su misura che creano valore tangibile per i nostri clienti e partner.</w:t>
      </w:r>
    </w:p>
    <w:p>
      <w:pPr>
        <w:pStyle w:val="BodyText"/>
      </w:pPr>
      <w:r>
        <w:rPr>
          <w:b/>
        </w:rPr>
        <w:t xml:space="preserve">Visione</w:t>
      </w:r>
      <w:r>
        <w:t xml:space="preserve">: Diventare leader europeo nelle soluzioni basate su materiali 2D, contribuendo alla transizione verso un’industria più efficiente, sostenibile e tecnologicamente avanzata.</w:t>
      </w:r>
    </w:p>
    <w:p>
      <w:pPr>
        <w:pStyle w:val="Heading3"/>
      </w:pPr>
      <w:bookmarkStart w:id="29" w:name="obiettivi-aziendali"/>
      <w:r>
        <w:t xml:space="preserve">1.2 Obiettivi Aziendali</w:t>
      </w:r>
      <w:bookmarkEnd w:id="29"/>
    </w:p>
    <w:p>
      <w:pPr>
        <w:pStyle w:val="FirstParagraph"/>
      </w:pPr>
      <w:r>
        <w:rPr>
          <w:b/>
        </w:rPr>
        <w:t xml:space="preserve">Obiettivi a Breve Termine (1-2 anni)</w:t>
      </w:r>
      <w:r>
        <w:t xml:space="preserve">:</w:t>
      </w:r>
      <w:r>
        <w:t xml:space="preserve"> </w:t>
      </w:r>
      <w:r>
        <w:t xml:space="preserve">- Sviluppare e validare 3-5 prodotti a base di grafene per applicazioni specifiche</w:t>
      </w:r>
      <w:r>
        <w:t xml:space="preserve"> </w:t>
      </w:r>
      <w:r>
        <w:t xml:space="preserve">- Stabilire partnership con almeno 2 aziende industriali per progetti pilota</w:t>
      </w:r>
      <w:r>
        <w:t xml:space="preserve"> </w:t>
      </w:r>
      <w:r>
        <w:t xml:space="preserve">- Ottenere finanziamenti europei per progetti di R&amp;S</w:t>
      </w:r>
      <w:r>
        <w:t xml:space="preserve"> </w:t>
      </w:r>
      <w:r>
        <w:t xml:space="preserve">- Costruire un team di 8-10 professionisti altamente qualificati</w:t>
      </w:r>
    </w:p>
    <w:p>
      <w:pPr>
        <w:pStyle w:val="BodyText"/>
      </w:pPr>
      <w:r>
        <w:rPr>
          <w:b/>
        </w:rPr>
        <w:t xml:space="preserve">Obiettivi a Medio Termine (3-5 anni)</w:t>
      </w:r>
      <w:r>
        <w:t xml:space="preserve">:</w:t>
      </w:r>
      <w:r>
        <w:t xml:space="preserve"> </w:t>
      </w:r>
      <w:r>
        <w:t xml:space="preserve">- Espandere il portafoglio prodotti a 10-15 soluzioni</w:t>
      </w:r>
      <w:r>
        <w:t xml:space="preserve"> </w:t>
      </w:r>
      <w:r>
        <w:t xml:space="preserve">- Stabilire una rete di distribuzione in Europa</w:t>
      </w:r>
      <w:r>
        <w:t xml:space="preserve"> </w:t>
      </w:r>
      <w:r>
        <w:t xml:space="preserve">- Raggiungere ricavi annuali di 2,5 milioni di euro</w:t>
      </w:r>
      <w:r>
        <w:t xml:space="preserve"> </w:t>
      </w:r>
      <w:r>
        <w:t xml:space="preserve">- Ottenere brevetti per almeno 3 tecnologie proprietarie</w:t>
      </w:r>
    </w:p>
    <w:p>
      <w:pPr>
        <w:pStyle w:val="BodyText"/>
      </w:pPr>
      <w:r>
        <w:rPr>
          <w:b/>
        </w:rPr>
        <w:t xml:space="preserve">Obiettivi a Lungo Termine (5+ anni)</w:t>
      </w:r>
      <w:r>
        <w:t xml:space="preserve">:</w:t>
      </w:r>
      <w:r>
        <w:t xml:space="preserve"> </w:t>
      </w:r>
      <w:r>
        <w:t xml:space="preserve">- Diventare leader europeo nelle soluzioni basate su materiali 2D</w:t>
      </w:r>
      <w:r>
        <w:t xml:space="preserve"> </w:t>
      </w:r>
      <w:r>
        <w:t xml:space="preserve">- Espandere la presenza internazionale</w:t>
      </w:r>
      <w:r>
        <w:t xml:space="preserve"> </w:t>
      </w:r>
      <w:r>
        <w:t xml:space="preserve">- Diversificare il portafoglio verso altri materiali 2D oltre al grafene</w:t>
      </w:r>
      <w:r>
        <w:t xml:space="preserve"> </w:t>
      </w:r>
      <w:r>
        <w:t xml:space="preserve">- Raggiungere ricavi annuali di 10+ milioni di euro</w:t>
      </w:r>
    </w:p>
    <w:p>
      <w:pPr>
        <w:pStyle w:val="Heading3"/>
      </w:pPr>
      <w:bookmarkStart w:id="30" w:name="struttura-aziendale"/>
      <w:r>
        <w:t xml:space="preserve">1.3 Struttura Aziendale</w:t>
      </w:r>
      <w:bookmarkEnd w:id="30"/>
    </w:p>
    <w:p>
      <w:pPr>
        <w:pStyle w:val="FirstParagraph"/>
      </w:pPr>
      <w:r>
        <w:t xml:space="preserve">La società sarà strutturata in quattro dipartimenti principali: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Ricerca e Sviluppo</w:t>
      </w:r>
      <w:r>
        <w:t xml:space="preserve">: Responsabile dello sviluppo di nuovi materiali e applicazioni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Produzione e Qualità</w:t>
      </w:r>
      <w:r>
        <w:t xml:space="preserve">: Gestione della produzione e controllo qualità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Business Development e Vendite</w:t>
      </w:r>
      <w:r>
        <w:t xml:space="preserve">: Sviluppo commerciale, marketing e vendite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Amministrazione e Finanza</w:t>
      </w:r>
      <w:r>
        <w:t xml:space="preserve">: Gestione amministrativa, finanziaria e legale</w:t>
      </w:r>
    </w:p>
    <w:p>
      <w:pPr>
        <w:pStyle w:val="Heading3"/>
      </w:pPr>
      <w:bookmarkStart w:id="31" w:name="localizzazione"/>
      <w:r>
        <w:t xml:space="preserve">1.4 Localizzazione</w:t>
      </w:r>
      <w:bookmarkEnd w:id="31"/>
    </w:p>
    <w:p>
      <w:pPr>
        <w:pStyle w:val="FirstParagraph"/>
      </w:pPr>
      <w:r>
        <w:t xml:space="preserve">La sede principale sarà stabilita in un’area con forte presenza di centri di ricerca e industrie nei settori target, preferibilmente in prossimità di un polo tecnologico o universitario con competenze nei materiali avanzati. Inizialmente, si prevede di utilizzare spazi in incubatori o acceleratori di imprese per contenere i costi.</w:t>
      </w:r>
    </w:p>
    <w:p>
      <w:pPr>
        <w:pStyle w:val="Heading2"/>
      </w:pPr>
      <w:bookmarkStart w:id="32" w:name="analisi-di-mercato"/>
      <w:r>
        <w:t xml:space="preserve">2. Analisi di Mercato</w:t>
      </w:r>
      <w:bookmarkEnd w:id="32"/>
    </w:p>
    <w:p>
      <w:pPr>
        <w:pStyle w:val="Heading3"/>
      </w:pPr>
      <w:bookmarkStart w:id="33" w:name="dimensioni-e-crescita-del-mercato"/>
      <w:r>
        <w:t xml:space="preserve">2.1 Dimensioni e Crescita del Mercato</w:t>
      </w:r>
      <w:bookmarkEnd w:id="33"/>
    </w:p>
    <w:p>
      <w:pPr>
        <w:pStyle w:val="FirstParagraph"/>
      </w:pPr>
      <w:r>
        <w:t xml:space="preserve">Il mercato globale dei materiali 2D, con il grafene in prima linea, mostra tendenze di crescita significative:</w:t>
      </w:r>
    </w:p>
    <w:p>
      <w:pPr>
        <w:numPr>
          <w:ilvl w:val="0"/>
          <w:numId w:val="1002"/>
        </w:numPr>
        <w:pStyle w:val="Compact"/>
      </w:pPr>
      <w:r>
        <w:t xml:space="preserve">CAGR previsto tra il 15,7% e il 35% nei prossimi anni</w:t>
      </w:r>
    </w:p>
    <w:p>
      <w:pPr>
        <w:numPr>
          <w:ilvl w:val="0"/>
          <w:numId w:val="1002"/>
        </w:numPr>
        <w:pStyle w:val="Compact"/>
      </w:pPr>
      <w:r>
        <w:t xml:space="preserve">Valore di mercato stimato tra 1,6 e 2,1 miliardi di dollari entro il 2030</w:t>
      </w:r>
    </w:p>
    <w:p>
      <w:pPr>
        <w:numPr>
          <w:ilvl w:val="0"/>
          <w:numId w:val="1002"/>
        </w:numPr>
        <w:pStyle w:val="Compact"/>
      </w:pPr>
      <w:r>
        <w:t xml:space="preserve">Capacità produttiva globale attuale di oltre 12.000 tonnellate all’anno</w:t>
      </w:r>
    </w:p>
    <w:p>
      <w:pPr>
        <w:pStyle w:val="Heading3"/>
      </w:pPr>
      <w:bookmarkStart w:id="34" w:name="segmentazione-del-mercato"/>
      <w:r>
        <w:t xml:space="preserve">2.2 Segmentazione del Mercato</w:t>
      </w:r>
      <w:bookmarkEnd w:id="34"/>
    </w:p>
    <w:p>
      <w:pPr>
        <w:pStyle w:val="FirstParagraph"/>
      </w:pPr>
      <w:r>
        <w:rPr>
          <w:b/>
        </w:rPr>
        <w:t xml:space="preserve">Per Tipo di Prodotto</w:t>
      </w:r>
      <w:r>
        <w:t xml:space="preserve">:</w:t>
      </w:r>
      <w:r>
        <w:t xml:space="preserve"> </w:t>
      </w:r>
      <w:r>
        <w:t xml:space="preserve">- Grafene sfuso (bulk graphene): nanopiastrine, ossido di grafene, ossido di grafene ridotto</w:t>
      </w:r>
      <w:r>
        <w:t xml:space="preserve"> </w:t>
      </w:r>
      <w:r>
        <w:t xml:space="preserve">- Grafene monostrato e bistrato</w:t>
      </w:r>
    </w:p>
    <w:p>
      <w:pPr>
        <w:pStyle w:val="BodyText"/>
      </w:pPr>
      <w:r>
        <w:rPr>
          <w:b/>
        </w:rPr>
        <w:t xml:space="preserve">Per Applicazione</w:t>
      </w:r>
      <w:r>
        <w:t xml:space="preserve">:</w:t>
      </w:r>
      <w:r>
        <w:t xml:space="preserve"> </w:t>
      </w:r>
      <w:r>
        <w:t xml:space="preserve">- Compositi (automotive, aerospaziale)</w:t>
      </w:r>
      <w:r>
        <w:t xml:space="preserve"> </w:t>
      </w:r>
      <w:r>
        <w:t xml:space="preserve">- Accumulo di energia (batterie, supercondensatori)</w:t>
      </w:r>
      <w:r>
        <w:t xml:space="preserve"> </w:t>
      </w:r>
      <w:r>
        <w:t xml:space="preserve">- Elettronica (sensori, dispositivi flessibili)</w:t>
      </w:r>
      <w:r>
        <w:t xml:space="preserve"> </w:t>
      </w:r>
      <w:r>
        <w:t xml:space="preserve">- Rivestimenti e vernici</w:t>
      </w:r>
      <w:r>
        <w:t xml:space="preserve"> </w:t>
      </w:r>
      <w:r>
        <w:t xml:space="preserve">- Biomedicina</w:t>
      </w:r>
      <w:r>
        <w:t xml:space="preserve"> </w:t>
      </w:r>
      <w:r>
        <w:t xml:space="preserve">- Trattamento delle acque</w:t>
      </w:r>
    </w:p>
    <w:p>
      <w:pPr>
        <w:pStyle w:val="BodyText"/>
      </w:pPr>
      <w:r>
        <w:rPr>
          <w:b/>
        </w:rPr>
        <w:t xml:space="preserve">Per Settore di Utilizzo Finale</w:t>
      </w:r>
      <w:r>
        <w:t xml:space="preserve">:</w:t>
      </w:r>
      <w:r>
        <w:t xml:space="preserve"> </w:t>
      </w:r>
      <w:r>
        <w:t xml:space="preserve">- Automotive e trasporti</w:t>
      </w:r>
      <w:r>
        <w:t xml:space="preserve"> </w:t>
      </w:r>
      <w:r>
        <w:t xml:space="preserve">- Aerospaziale</w:t>
      </w:r>
      <w:r>
        <w:t xml:space="preserve"> </w:t>
      </w:r>
      <w:r>
        <w:t xml:space="preserve">- Elettronica</w:t>
      </w:r>
      <w:r>
        <w:t xml:space="preserve"> </w:t>
      </w:r>
      <w:r>
        <w:t xml:space="preserve">- Energia</w:t>
      </w:r>
      <w:r>
        <w:t xml:space="preserve"> </w:t>
      </w:r>
      <w:r>
        <w:t xml:space="preserve">- Biomedicina</w:t>
      </w:r>
      <w:r>
        <w:t xml:space="preserve"> </w:t>
      </w:r>
      <w:r>
        <w:t xml:space="preserve">- Costruzioni</w:t>
      </w:r>
    </w:p>
    <w:p>
      <w:pPr>
        <w:pStyle w:val="Heading3"/>
      </w:pPr>
      <w:bookmarkStart w:id="35" w:name="tendenze-di-mercato"/>
      <w:r>
        <w:t xml:space="preserve">2.3 Tendenze di Mercato</w:t>
      </w:r>
      <w:bookmarkEnd w:id="35"/>
    </w:p>
    <w:p>
      <w:pPr>
        <w:numPr>
          <w:ilvl w:val="0"/>
          <w:numId w:val="1003"/>
        </w:numPr>
        <w:pStyle w:val="Compact"/>
      </w:pPr>
      <w:r>
        <w:t xml:space="preserve">Crescente domanda di materiali leggeri e resistenti nel settore automotive e aerospaziale</w:t>
      </w:r>
    </w:p>
    <w:p>
      <w:pPr>
        <w:numPr>
          <w:ilvl w:val="0"/>
          <w:numId w:val="1003"/>
        </w:numPr>
        <w:pStyle w:val="Compact"/>
      </w:pPr>
      <w:r>
        <w:t xml:space="preserve">Aumento degli investimenti in tecnologie per l’accumulo di energia</w:t>
      </w:r>
    </w:p>
    <w:p>
      <w:pPr>
        <w:numPr>
          <w:ilvl w:val="0"/>
          <w:numId w:val="1003"/>
        </w:numPr>
        <w:pStyle w:val="Compact"/>
      </w:pPr>
      <w:r>
        <w:t xml:space="preserve">Maggiore attenzione alla sostenibilità e all’efficienza energetica</w:t>
      </w:r>
    </w:p>
    <w:p>
      <w:pPr>
        <w:numPr>
          <w:ilvl w:val="0"/>
          <w:numId w:val="1003"/>
        </w:numPr>
        <w:pStyle w:val="Compact"/>
      </w:pPr>
      <w:r>
        <w:t xml:space="preserve">Progressi nella standardizzazione e nella produzione su larga scala</w:t>
      </w:r>
    </w:p>
    <w:p>
      <w:pPr>
        <w:numPr>
          <w:ilvl w:val="0"/>
          <w:numId w:val="1003"/>
        </w:numPr>
        <w:pStyle w:val="Compact"/>
      </w:pPr>
      <w:r>
        <w:t xml:space="preserve">Consolidamento del mercato tra i produttori di grafene</w:t>
      </w:r>
    </w:p>
    <w:p>
      <w:pPr>
        <w:pStyle w:val="Heading3"/>
      </w:pPr>
      <w:bookmarkStart w:id="36" w:name="analisi-della-concorrenza"/>
      <w:r>
        <w:t xml:space="preserve">2.4 Analisi della Concorrenza</w:t>
      </w:r>
      <w:bookmarkEnd w:id="36"/>
    </w:p>
    <w:p>
      <w:pPr>
        <w:pStyle w:val="FirstParagraph"/>
      </w:pPr>
      <w:r>
        <w:rPr>
          <w:b/>
        </w:rPr>
        <w:t xml:space="preserve">Tipologie di Concorrenti</w:t>
      </w:r>
      <w:r>
        <w:t xml:space="preserve">:</w:t>
      </w:r>
      <w:r>
        <w:t xml:space="preserve"> </w:t>
      </w:r>
      <w:r>
        <w:t xml:space="preserve">1.</w:t>
      </w:r>
      <w:r>
        <w:t xml:space="preserve"> </w:t>
      </w:r>
      <w:r>
        <w:rPr>
          <w:b/>
        </w:rPr>
        <w:t xml:space="preserve">Produttori di Grafene</w:t>
      </w:r>
      <w:r>
        <w:t xml:space="preserve">: Aziende focalizzate sulla produzione di grafene e materiali 2D</w:t>
      </w:r>
      <w:r>
        <w:t xml:space="preserve"> </w:t>
      </w:r>
      <w:r>
        <w:t xml:space="preserve">2.</w:t>
      </w:r>
      <w:r>
        <w:t xml:space="preserve"> </w:t>
      </w:r>
      <w:r>
        <w:rPr>
          <w:b/>
        </w:rPr>
        <w:t xml:space="preserve">Sviluppatori di Applicazioni</w:t>
      </w:r>
      <w:r>
        <w:t xml:space="preserve">: Aziende che sviluppano prodotti specifici basati sul grafene</w:t>
      </w:r>
      <w:r>
        <w:t xml:space="preserve"> </w:t>
      </w:r>
      <w:r>
        <w:t xml:space="preserve">3.</w:t>
      </w:r>
      <w:r>
        <w:t xml:space="preserve"> </w:t>
      </w:r>
      <w:r>
        <w:rPr>
          <w:b/>
        </w:rPr>
        <w:t xml:space="preserve">Fornitori di Materiali Tradizionali</w:t>
      </w:r>
      <w:r>
        <w:t xml:space="preserve">: Aziende che offrono materiali alternativi o complementari</w:t>
      </w:r>
    </w:p>
    <w:p>
      <w:pPr>
        <w:pStyle w:val="BodyText"/>
      </w:pPr>
      <w:r>
        <w:rPr>
          <w:b/>
        </w:rPr>
        <w:t xml:space="preserve">Principali Concorrenti</w:t>
      </w:r>
      <w:r>
        <w:t xml:space="preserve">:</w:t>
      </w:r>
      <w:r>
        <w:t xml:space="preserve"> </w:t>
      </w:r>
      <w:r>
        <w:t xml:space="preserve">- NanoXplore Inc. (Stati Uniti)</w:t>
      </w:r>
      <w:r>
        <w:t xml:space="preserve"> </w:t>
      </w:r>
      <w:r>
        <w:t xml:space="preserve">- Graphenea SA (Spagna)</w:t>
      </w:r>
      <w:r>
        <w:t xml:space="preserve"> </w:t>
      </w:r>
      <w:r>
        <w:t xml:space="preserve">- Directa Plus SpA (Italia)</w:t>
      </w:r>
      <w:r>
        <w:t xml:space="preserve"> </w:t>
      </w:r>
      <w:r>
        <w:t xml:space="preserve">- Haydale Graphene Industries Plc (Italia)</w:t>
      </w:r>
      <w:r>
        <w:t xml:space="preserve"> </w:t>
      </w:r>
      <w:r>
        <w:t xml:space="preserve">- Global Graphene Group (Stati Uniti)</w:t>
      </w:r>
    </w:p>
    <w:p>
      <w:pPr>
        <w:pStyle w:val="BodyText"/>
      </w:pPr>
      <w:r>
        <w:rPr>
          <w:b/>
        </w:rPr>
        <w:t xml:space="preserve">Vantaggi Competitivi dei Concorrenti</w:t>
      </w:r>
      <w:r>
        <w:t xml:space="preserve">:</w:t>
      </w:r>
      <w:r>
        <w:t xml:space="preserve"> </w:t>
      </w:r>
      <w:r>
        <w:t xml:space="preserve">- Capacità produttiva consolidata</w:t>
      </w:r>
      <w:r>
        <w:t xml:space="preserve"> </w:t>
      </w:r>
      <w:r>
        <w:t xml:space="preserve">- Portafoglio brevetti</w:t>
      </w:r>
      <w:r>
        <w:t xml:space="preserve"> </w:t>
      </w:r>
      <w:r>
        <w:t xml:space="preserve">- Relazioni con clienti industriali</w:t>
      </w:r>
      <w:r>
        <w:t xml:space="preserve"> </w:t>
      </w:r>
      <w:r>
        <w:t xml:space="preserve">- Economie di scala</w:t>
      </w:r>
    </w:p>
    <w:p>
      <w:pPr>
        <w:pStyle w:val="Heading3"/>
      </w:pPr>
      <w:bookmarkStart w:id="37" w:name="analisi-swot"/>
      <w:r>
        <w:t xml:space="preserve">2.5 Analisi SWOT</w:t>
      </w:r>
      <w:bookmarkEnd w:id="37"/>
    </w:p>
    <w:p>
      <w:pPr>
        <w:pStyle w:val="FirstParagraph"/>
      </w:pPr>
      <w:r>
        <w:rPr>
          <w:b/>
        </w:rPr>
        <w:t xml:space="preserve">Punti di Forza</w:t>
      </w:r>
      <w:r>
        <w:t xml:space="preserve">:</w:t>
      </w:r>
      <w:r>
        <w:t xml:space="preserve"> </w:t>
      </w:r>
      <w:r>
        <w:t xml:space="preserve">- Competenze specializzate nei materiali 2D</w:t>
      </w:r>
      <w:r>
        <w:t xml:space="preserve"> </w:t>
      </w:r>
      <w:r>
        <w:t xml:space="preserve">- Approccio flessibile e personalizzato</w:t>
      </w:r>
      <w:r>
        <w:t xml:space="preserve"> </w:t>
      </w:r>
      <w:r>
        <w:t xml:space="preserve">- Focus su applicazioni ad alto valore aggiunto</w:t>
      </w:r>
      <w:r>
        <w:t xml:space="preserve"> </w:t>
      </w:r>
      <w:r>
        <w:t xml:space="preserve">- Rete di contatti con centri di ricerca e università</w:t>
      </w:r>
    </w:p>
    <w:p>
      <w:pPr>
        <w:pStyle w:val="BodyText"/>
      </w:pPr>
      <w:r>
        <w:rPr>
          <w:b/>
        </w:rPr>
        <w:t xml:space="preserve">Punti di Debolezza</w:t>
      </w:r>
      <w:r>
        <w:t xml:space="preserve">:</w:t>
      </w:r>
      <w:r>
        <w:t xml:space="preserve"> </w:t>
      </w:r>
      <w:r>
        <w:t xml:space="preserve">- Limitata capacità produttiva iniziale</w:t>
      </w:r>
      <w:r>
        <w:t xml:space="preserve"> </w:t>
      </w:r>
      <w:r>
        <w:t xml:space="preserve">- Risorse finanziarie limitate rispetto ai concorrenti consolidati</w:t>
      </w:r>
      <w:r>
        <w:t xml:space="preserve"> </w:t>
      </w:r>
      <w:r>
        <w:t xml:space="preserve">- Mancanza di una base clienti iniziale</w:t>
      </w:r>
      <w:r>
        <w:t xml:space="preserve"> </w:t>
      </w:r>
      <w:r>
        <w:t xml:space="preserve">- Necessità di costruire credibilità nel mercato</w:t>
      </w:r>
    </w:p>
    <w:p>
      <w:pPr>
        <w:pStyle w:val="BodyText"/>
      </w:pPr>
      <w:r>
        <w:rPr>
          <w:b/>
        </w:rPr>
        <w:t xml:space="preserve">Opportunità</w:t>
      </w:r>
      <w:r>
        <w:t xml:space="preserve">:</w:t>
      </w:r>
      <w:r>
        <w:t xml:space="preserve"> </w:t>
      </w:r>
      <w:r>
        <w:t xml:space="preserve">- Mercato in rapida crescita</w:t>
      </w:r>
      <w:r>
        <w:t xml:space="preserve"> </w:t>
      </w:r>
      <w:r>
        <w:t xml:space="preserve">- Numerose applicazioni ancora inesplorate</w:t>
      </w:r>
      <w:r>
        <w:t xml:space="preserve"> </w:t>
      </w:r>
      <w:r>
        <w:t xml:space="preserve">- Possibilità di partnership con aziende industriali</w:t>
      </w:r>
      <w:r>
        <w:t xml:space="preserve"> </w:t>
      </w:r>
      <w:r>
        <w:t xml:space="preserve">- Accesso a finanziamenti europei per l’innovazione</w:t>
      </w:r>
    </w:p>
    <w:p>
      <w:pPr>
        <w:pStyle w:val="BodyText"/>
      </w:pPr>
      <w:r>
        <w:rPr>
          <w:b/>
        </w:rPr>
        <w:t xml:space="preserve">Minacce</w:t>
      </w:r>
      <w:r>
        <w:t xml:space="preserve">:</w:t>
      </w:r>
      <w:r>
        <w:t xml:space="preserve"> </w:t>
      </w:r>
      <w:r>
        <w:t xml:space="preserve">- Concorrenza da aziende consolidate</w:t>
      </w:r>
      <w:r>
        <w:t xml:space="preserve"> </w:t>
      </w:r>
      <w:r>
        <w:t xml:space="preserve">- Incertezze normative</w:t>
      </w:r>
      <w:r>
        <w:t xml:space="preserve"> </w:t>
      </w:r>
      <w:r>
        <w:t xml:space="preserve">- Resistenza all’adozione di nuove tecnologie</w:t>
      </w:r>
      <w:r>
        <w:t xml:space="preserve"> </w:t>
      </w:r>
      <w:r>
        <w:t xml:space="preserve">- Volatilità dei prezzi delle materie prime</w:t>
      </w:r>
    </w:p>
    <w:p>
      <w:pPr>
        <w:pStyle w:val="Heading2"/>
      </w:pPr>
      <w:bookmarkStart w:id="38" w:name="prodotti-e-servizi"/>
      <w:r>
        <w:t xml:space="preserve">3. Prodotti e Servizi</w:t>
      </w:r>
      <w:bookmarkEnd w:id="38"/>
    </w:p>
    <w:p>
      <w:pPr>
        <w:pStyle w:val="Heading3"/>
      </w:pPr>
      <w:bookmarkStart w:id="39" w:name="portafoglio-prodotti"/>
      <w:r>
        <w:t xml:space="preserve">3.1 Portafoglio Prodotti</w:t>
      </w:r>
      <w:bookmarkEnd w:id="39"/>
    </w:p>
    <w:p>
      <w:pPr>
        <w:pStyle w:val="FirstParagraph"/>
      </w:pPr>
      <w:r>
        <w:t xml:space="preserve">La nostra offerta iniziale si concentrerà su tre linee di prodotti principali:</w:t>
      </w:r>
    </w:p>
    <w:p>
      <w:pPr>
        <w:numPr>
          <w:ilvl w:val="0"/>
          <w:numId w:val="1004"/>
        </w:numPr>
      </w:pPr>
      <w:r>
        <w:rPr>
          <w:b/>
        </w:rPr>
        <w:t xml:space="preserve">GrafComp™</w:t>
      </w:r>
      <w:r>
        <w:t xml:space="preserve">: Additivi a base di grafene per materiali compositi, progettati per migliorare resistenza meccanica, conducibilità termica ed elettrica e resistenza alla corrosione.</w:t>
      </w:r>
    </w:p>
    <w:p>
      <w:pPr>
        <w:numPr>
          <w:ilvl w:val="0"/>
          <w:numId w:val="1004"/>
        </w:numPr>
      </w:pPr>
      <w:r>
        <w:rPr>
          <w:b/>
        </w:rPr>
        <w:t xml:space="preserve">EnerGraf™</w:t>
      </w:r>
      <w:r>
        <w:t xml:space="preserve">: Materiali a base di grafene per applicazioni energetiche, inclusi additivi per elettrodi di batterie, materiali per supercondensatori e soluzioni per la gestione termica.</w:t>
      </w:r>
    </w:p>
    <w:p>
      <w:pPr>
        <w:numPr>
          <w:ilvl w:val="0"/>
          <w:numId w:val="1004"/>
        </w:numPr>
      </w:pPr>
      <w:r>
        <w:rPr>
          <w:b/>
        </w:rPr>
        <w:t xml:space="preserve">CoatGraf™</w:t>
      </w:r>
      <w:r>
        <w:t xml:space="preserve">: Dispersioni di grafene per rivestimenti funzionali, con proprietà anticorrosione, conduttive e antimicrobiche.</w:t>
      </w:r>
    </w:p>
    <w:p>
      <w:pPr>
        <w:pStyle w:val="Heading3"/>
      </w:pPr>
      <w:bookmarkStart w:id="40" w:name="servizi"/>
      <w:r>
        <w:t xml:space="preserve">3.2 Servizi</w:t>
      </w:r>
      <w:bookmarkEnd w:id="40"/>
    </w:p>
    <w:p>
      <w:pPr>
        <w:pStyle w:val="FirstParagraph"/>
      </w:pPr>
      <w:r>
        <w:t xml:space="preserve">Oltre ai prodotti, offriremo una gamma di servizi complementari:</w:t>
      </w:r>
    </w:p>
    <w:p>
      <w:pPr>
        <w:numPr>
          <w:ilvl w:val="0"/>
          <w:numId w:val="1005"/>
        </w:numPr>
      </w:pPr>
      <w:r>
        <w:rPr>
          <w:b/>
        </w:rPr>
        <w:t xml:space="preserve">Consulenza Tecnica</w:t>
      </w:r>
      <w:r>
        <w:t xml:space="preserve">: Supporto per l’integrazione dei materiali 2D nei processi e prodotti dei clienti.</w:t>
      </w:r>
    </w:p>
    <w:p>
      <w:pPr>
        <w:numPr>
          <w:ilvl w:val="0"/>
          <w:numId w:val="1005"/>
        </w:numPr>
      </w:pPr>
      <w:r>
        <w:rPr>
          <w:b/>
        </w:rPr>
        <w:t xml:space="preserve">Sviluppo Personalizzato</w:t>
      </w:r>
      <w:r>
        <w:t xml:space="preserve">: Creazione di soluzioni su misura per esigenze specifiche dei clienti.</w:t>
      </w:r>
    </w:p>
    <w:p>
      <w:pPr>
        <w:numPr>
          <w:ilvl w:val="0"/>
          <w:numId w:val="1005"/>
        </w:numPr>
      </w:pPr>
      <w:r>
        <w:rPr>
          <w:b/>
        </w:rPr>
        <w:t xml:space="preserve">Testing e Caratterizzazione</w:t>
      </w:r>
      <w:r>
        <w:t xml:space="preserve">: Servizi di analisi e caratterizzazione di materiali 2D e loro applicazioni.</w:t>
      </w:r>
    </w:p>
    <w:p>
      <w:pPr>
        <w:numPr>
          <w:ilvl w:val="0"/>
          <w:numId w:val="1005"/>
        </w:numPr>
      </w:pPr>
      <w:r>
        <w:rPr>
          <w:b/>
        </w:rPr>
        <w:t xml:space="preserve">Formazione</w:t>
      </w:r>
      <w:r>
        <w:t xml:space="preserve">: Programmi di formazione per il personale tecnico dei clienti sull’utilizzo e l’integrazione dei materiali 2D.</w:t>
      </w:r>
    </w:p>
    <w:p>
      <w:pPr>
        <w:pStyle w:val="Heading3"/>
      </w:pPr>
      <w:bookmarkStart w:id="41" w:name="sviluppo-prodotti"/>
      <w:r>
        <w:t xml:space="preserve">3.3 Sviluppo Prodotti</w:t>
      </w:r>
      <w:bookmarkEnd w:id="41"/>
    </w:p>
    <w:p>
      <w:pPr>
        <w:pStyle w:val="FirstParagraph"/>
      </w:pPr>
      <w:r>
        <w:t xml:space="preserve">Il nostro processo di sviluppo prodotti seguirà un approccio in quattro fasi:</w:t>
      </w:r>
    </w:p>
    <w:p>
      <w:pPr>
        <w:numPr>
          <w:ilvl w:val="0"/>
          <w:numId w:val="1006"/>
        </w:numPr>
      </w:pPr>
      <w:r>
        <w:rPr>
          <w:b/>
        </w:rPr>
        <w:t xml:space="preserve">Ricerca e Concettualizzazione</w:t>
      </w:r>
      <w:r>
        <w:t xml:space="preserve">: Identificazione di opportunità di mercato e sviluppo di concetti iniziali.</w:t>
      </w:r>
    </w:p>
    <w:p>
      <w:pPr>
        <w:numPr>
          <w:ilvl w:val="0"/>
          <w:numId w:val="1006"/>
        </w:numPr>
      </w:pPr>
      <w:r>
        <w:rPr>
          <w:b/>
        </w:rPr>
        <w:t xml:space="preserve">Prototipazione e Testing</w:t>
      </w:r>
      <w:r>
        <w:t xml:space="preserve">: Sviluppo di prototipi e validazione delle prestazioni in laboratorio.</w:t>
      </w:r>
    </w:p>
    <w:p>
      <w:pPr>
        <w:numPr>
          <w:ilvl w:val="0"/>
          <w:numId w:val="1006"/>
        </w:numPr>
      </w:pPr>
      <w:r>
        <w:rPr>
          <w:b/>
        </w:rPr>
        <w:t xml:space="preserve">Scaling e Ottimizzazione</w:t>
      </w:r>
      <w:r>
        <w:t xml:space="preserve">: Adattamento dei processi per la produzione su scala industriale.</w:t>
      </w:r>
    </w:p>
    <w:p>
      <w:pPr>
        <w:numPr>
          <w:ilvl w:val="0"/>
          <w:numId w:val="1006"/>
        </w:numPr>
      </w:pPr>
      <w:r>
        <w:rPr>
          <w:b/>
        </w:rPr>
        <w:t xml:space="preserve">Commercializzazione</w:t>
      </w:r>
      <w:r>
        <w:t xml:space="preserve">: Lancio sul mercato e supporto post-vendita.</w:t>
      </w:r>
    </w:p>
    <w:p>
      <w:pPr>
        <w:pStyle w:val="Heading3"/>
      </w:pPr>
      <w:bookmarkStart w:id="42" w:name="proprietà-intellettuale"/>
      <w:r>
        <w:t xml:space="preserve">3.4 Proprietà Intellettuale</w:t>
      </w:r>
      <w:bookmarkEnd w:id="42"/>
    </w:p>
    <w:p>
      <w:pPr>
        <w:pStyle w:val="FirstParagraph"/>
      </w:pPr>
      <w:r>
        <w:t xml:space="preserve">La protezione della proprietà intellettuale sarà una priorità strategica. Prevediamo di:</w:t>
      </w:r>
    </w:p>
    <w:p>
      <w:pPr>
        <w:numPr>
          <w:ilvl w:val="0"/>
          <w:numId w:val="1007"/>
        </w:numPr>
        <w:pStyle w:val="Compact"/>
      </w:pPr>
      <w:r>
        <w:t xml:space="preserve">Depositare brevetti per tecnologie e processi proprietari</w:t>
      </w:r>
    </w:p>
    <w:p>
      <w:pPr>
        <w:numPr>
          <w:ilvl w:val="0"/>
          <w:numId w:val="1007"/>
        </w:numPr>
        <w:pStyle w:val="Compact"/>
      </w:pPr>
      <w:r>
        <w:t xml:space="preserve">Registrare marchi per i nostri prodotti e servizi</w:t>
      </w:r>
    </w:p>
    <w:p>
      <w:pPr>
        <w:numPr>
          <w:ilvl w:val="0"/>
          <w:numId w:val="1007"/>
        </w:numPr>
        <w:pStyle w:val="Compact"/>
      </w:pPr>
      <w:r>
        <w:t xml:space="preserve">Utilizzare accordi di riservatezza con dipendenti, partner e clienti</w:t>
      </w:r>
    </w:p>
    <w:p>
      <w:pPr>
        <w:numPr>
          <w:ilvl w:val="0"/>
          <w:numId w:val="1007"/>
        </w:numPr>
        <w:pStyle w:val="Compact"/>
      </w:pPr>
      <w:r>
        <w:t xml:space="preserve">Sviluppare know-how proprietario non brevettabile ma protetto come segreto industriale</w:t>
      </w:r>
    </w:p>
    <w:p>
      <w:pPr>
        <w:pStyle w:val="Heading2"/>
      </w:pPr>
      <w:bookmarkStart w:id="43" w:name="strategia-di-marketing-e-vendite"/>
      <w:r>
        <w:t xml:space="preserve">4. Strategia di Marketing e Vendite</w:t>
      </w:r>
      <w:bookmarkEnd w:id="43"/>
    </w:p>
    <w:p>
      <w:pPr>
        <w:pStyle w:val="Heading3"/>
      </w:pPr>
      <w:bookmarkStart w:id="44" w:name="posizionamento-di-mercato"/>
      <w:r>
        <w:t xml:space="preserve">4.1 Posizionamento di Mercato</w:t>
      </w:r>
      <w:bookmarkEnd w:id="44"/>
    </w:p>
    <w:p>
      <w:pPr>
        <w:pStyle w:val="FirstParagraph"/>
      </w:pPr>
      <w:r>
        <w:t xml:space="preserve">Ci posizioneremo come partner strategico per l’innovazione nei materiali, offrendo:</w:t>
      </w:r>
    </w:p>
    <w:p>
      <w:pPr>
        <w:numPr>
          <w:ilvl w:val="0"/>
          <w:numId w:val="1008"/>
        </w:numPr>
        <w:pStyle w:val="Compact"/>
      </w:pPr>
      <w:r>
        <w:t xml:space="preserve">Soluzioni personalizzate ad alto valore aggiunto</w:t>
      </w:r>
    </w:p>
    <w:p>
      <w:pPr>
        <w:numPr>
          <w:ilvl w:val="0"/>
          <w:numId w:val="1008"/>
        </w:numPr>
        <w:pStyle w:val="Compact"/>
      </w:pPr>
      <w:r>
        <w:t xml:space="preserve">Competenze specialistiche nei materiali 2D</w:t>
      </w:r>
    </w:p>
    <w:p>
      <w:pPr>
        <w:numPr>
          <w:ilvl w:val="0"/>
          <w:numId w:val="1008"/>
        </w:numPr>
        <w:pStyle w:val="Compact"/>
      </w:pPr>
      <w:r>
        <w:t xml:space="preserve">Approccio collaborativo e orientato ai risultati</w:t>
      </w:r>
    </w:p>
    <w:p>
      <w:pPr>
        <w:numPr>
          <w:ilvl w:val="0"/>
          <w:numId w:val="1008"/>
        </w:numPr>
        <w:pStyle w:val="Compact"/>
      </w:pPr>
      <w:r>
        <w:t xml:space="preserve">Focus sulla creazione di valore tangibile per i clienti</w:t>
      </w:r>
    </w:p>
    <w:p>
      <w:pPr>
        <w:pStyle w:val="Heading3"/>
      </w:pPr>
      <w:bookmarkStart w:id="45" w:name="segmenti-target"/>
      <w:r>
        <w:t xml:space="preserve">4.2 Segmenti Target</w:t>
      </w:r>
      <w:bookmarkEnd w:id="45"/>
    </w:p>
    <w:p>
      <w:pPr>
        <w:pStyle w:val="FirstParagraph"/>
      </w:pPr>
      <w:r>
        <w:t xml:space="preserve">Inizialmente, ci concentreremo su tre segmenti di mercato principali:</w:t>
      </w:r>
    </w:p>
    <w:p>
      <w:pPr>
        <w:numPr>
          <w:ilvl w:val="0"/>
          <w:numId w:val="1009"/>
        </w:numPr>
      </w:pPr>
      <w:r>
        <w:rPr>
          <w:b/>
        </w:rPr>
        <w:t xml:space="preserve">Produttori di Materiali Compositi</w:t>
      </w:r>
      <w:r>
        <w:t xml:space="preserve">: Aziende che producono materiali compositi per i settori automotive, aerospaziale e industriale.</w:t>
      </w:r>
    </w:p>
    <w:p>
      <w:pPr>
        <w:numPr>
          <w:ilvl w:val="0"/>
          <w:numId w:val="1009"/>
        </w:numPr>
      </w:pPr>
      <w:r>
        <w:rPr>
          <w:b/>
        </w:rPr>
        <w:t xml:space="preserve">Aziende nel Settore Energetico</w:t>
      </w:r>
      <w:r>
        <w:t xml:space="preserve">: Produttori di batterie, supercondensatori e sistemi di gestione termica.</w:t>
      </w:r>
    </w:p>
    <w:p>
      <w:pPr>
        <w:numPr>
          <w:ilvl w:val="0"/>
          <w:numId w:val="1009"/>
        </w:numPr>
      </w:pPr>
      <w:r>
        <w:rPr>
          <w:b/>
        </w:rPr>
        <w:t xml:space="preserve">Produttori di Rivestimenti Specializzati</w:t>
      </w:r>
      <w:r>
        <w:t xml:space="preserve">: Aziende che sviluppano rivestimenti funzionali per applicazioni industriali.</w:t>
      </w:r>
    </w:p>
    <w:p>
      <w:pPr>
        <w:pStyle w:val="Heading3"/>
      </w:pPr>
      <w:bookmarkStart w:id="46" w:name="strategia-di-prezzo"/>
      <w:r>
        <w:t xml:space="preserve">4.3 Strategia di Prezzo</w:t>
      </w:r>
      <w:bookmarkEnd w:id="46"/>
    </w:p>
    <w:p>
      <w:pPr>
        <w:pStyle w:val="FirstParagraph"/>
      </w:pPr>
      <w:r>
        <w:t xml:space="preserve">Adotteremo una strategia di prezzo basata sul valore, considerando:</w:t>
      </w:r>
    </w:p>
    <w:p>
      <w:pPr>
        <w:numPr>
          <w:ilvl w:val="0"/>
          <w:numId w:val="1010"/>
        </w:numPr>
        <w:pStyle w:val="Compact"/>
      </w:pPr>
      <w:r>
        <w:t xml:space="preserve">Il valore aggiunto fornito ai clienti (miglioramento delle prestazioni, riduzione dei costi, nuove funzionalità)</w:t>
      </w:r>
    </w:p>
    <w:p>
      <w:pPr>
        <w:numPr>
          <w:ilvl w:val="0"/>
          <w:numId w:val="1010"/>
        </w:numPr>
        <w:pStyle w:val="Compact"/>
      </w:pPr>
      <w:r>
        <w:t xml:space="preserve">I costi di produzione e sviluppo</w:t>
      </w:r>
    </w:p>
    <w:p>
      <w:pPr>
        <w:numPr>
          <w:ilvl w:val="0"/>
          <w:numId w:val="1010"/>
        </w:numPr>
        <w:pStyle w:val="Compact"/>
      </w:pPr>
      <w:r>
        <w:t xml:space="preserve">I prezzi dei prodotti concorrenti o alternativi</w:t>
      </w:r>
    </w:p>
    <w:p>
      <w:pPr>
        <w:numPr>
          <w:ilvl w:val="0"/>
          <w:numId w:val="1010"/>
        </w:numPr>
        <w:pStyle w:val="Compact"/>
      </w:pPr>
      <w:r>
        <w:t xml:space="preserve">La disponibilità a pagare dei clienti target</w:t>
      </w:r>
    </w:p>
    <w:p>
      <w:pPr>
        <w:pStyle w:val="Heading3"/>
      </w:pPr>
      <w:bookmarkStart w:id="47" w:name="canali-di-distribuzione"/>
      <w:r>
        <w:t xml:space="preserve">4.4 Canali di Distribuzione</w:t>
      </w:r>
      <w:bookmarkEnd w:id="47"/>
    </w:p>
    <w:p>
      <w:pPr>
        <w:pStyle w:val="FirstParagraph"/>
      </w:pPr>
      <w:r>
        <w:t xml:space="preserve">La nostra strategia di distribuzione si baserà su:</w:t>
      </w:r>
    </w:p>
    <w:p>
      <w:pPr>
        <w:numPr>
          <w:ilvl w:val="0"/>
          <w:numId w:val="1011"/>
        </w:numPr>
      </w:pPr>
      <w:r>
        <w:rPr>
          <w:b/>
        </w:rPr>
        <w:t xml:space="preserve">Vendita Diretta</w:t>
      </w:r>
      <w:r>
        <w:t xml:space="preserve">: Team commerciale interno per clienti strategici e progetti di grande valore.</w:t>
      </w:r>
    </w:p>
    <w:p>
      <w:pPr>
        <w:numPr>
          <w:ilvl w:val="0"/>
          <w:numId w:val="1011"/>
        </w:numPr>
      </w:pPr>
      <w:r>
        <w:rPr>
          <w:b/>
        </w:rPr>
        <w:t xml:space="preserve">Partnership con Distributori Specializzati</w:t>
      </w:r>
      <w:r>
        <w:t xml:space="preserve">: Collaborazione con distributori di materiali specializzati per raggiungere un mercato più ampio.</w:t>
      </w:r>
    </w:p>
    <w:p>
      <w:pPr>
        <w:numPr>
          <w:ilvl w:val="0"/>
          <w:numId w:val="1011"/>
        </w:numPr>
      </w:pPr>
      <w:r>
        <w:rPr>
          <w:b/>
        </w:rPr>
        <w:t xml:space="preserve">Alleanze Strategiche</w:t>
      </w:r>
      <w:r>
        <w:t xml:space="preserve">: Partnership con aziende complementari per offrire soluzioni integrate.</w:t>
      </w:r>
    </w:p>
    <w:p>
      <w:pPr>
        <w:pStyle w:val="Heading3"/>
      </w:pPr>
      <w:bookmarkStart w:id="48" w:name="strategia-di-comunicazione"/>
      <w:r>
        <w:t xml:space="preserve">4.5 Strategia di Comunicazione</w:t>
      </w:r>
      <w:bookmarkEnd w:id="48"/>
    </w:p>
    <w:p>
      <w:pPr>
        <w:pStyle w:val="FirstParagraph"/>
      </w:pPr>
      <w:r>
        <w:t xml:space="preserve">La nostra strategia di comunicazione includerà:</w:t>
      </w:r>
    </w:p>
    <w:p>
      <w:pPr>
        <w:numPr>
          <w:ilvl w:val="0"/>
          <w:numId w:val="1012"/>
        </w:numPr>
      </w:pPr>
      <w:r>
        <w:rPr>
          <w:b/>
        </w:rPr>
        <w:t xml:space="preserve">Marketing Digitale</w:t>
      </w:r>
      <w:r>
        <w:t xml:space="preserve">: Sito web professionale, content marketing, SEO, social media B2B.</w:t>
      </w:r>
    </w:p>
    <w:p>
      <w:pPr>
        <w:numPr>
          <w:ilvl w:val="0"/>
          <w:numId w:val="1012"/>
        </w:numPr>
      </w:pPr>
      <w:r>
        <w:rPr>
          <w:b/>
        </w:rPr>
        <w:t xml:space="preserve">Partecipazione a Fiere ed Eventi</w:t>
      </w:r>
      <w:r>
        <w:t xml:space="preserve">: Presenza alle principali fiere di settore e conferenze sui materiali avanzati.</w:t>
      </w:r>
    </w:p>
    <w:p>
      <w:pPr>
        <w:numPr>
          <w:ilvl w:val="0"/>
          <w:numId w:val="1012"/>
        </w:numPr>
      </w:pPr>
      <w:r>
        <w:rPr>
          <w:b/>
        </w:rPr>
        <w:t xml:space="preserve">Pubblicazioni Tecniche</w:t>
      </w:r>
      <w:r>
        <w:t xml:space="preserve">: Articoli su riviste specializzate e white paper tecnici.</w:t>
      </w:r>
    </w:p>
    <w:p>
      <w:pPr>
        <w:numPr>
          <w:ilvl w:val="0"/>
          <w:numId w:val="1012"/>
        </w:numPr>
      </w:pPr>
      <w:r>
        <w:rPr>
          <w:b/>
        </w:rPr>
        <w:t xml:space="preserve">Dimostrazioni e Case Study</w:t>
      </w:r>
      <w:r>
        <w:t xml:space="preserve">: Documentazione di successi con clienti pilota.</w:t>
      </w:r>
    </w:p>
    <w:p>
      <w:pPr>
        <w:numPr>
          <w:ilvl w:val="0"/>
          <w:numId w:val="1012"/>
        </w:numPr>
      </w:pPr>
      <w:r>
        <w:rPr>
          <w:b/>
        </w:rPr>
        <w:t xml:space="preserve">Networking</w:t>
      </w:r>
      <w:r>
        <w:t xml:space="preserve">: Partecipazione attiva a associazioni di categoria e iniziative come IAM-I.</w:t>
      </w:r>
    </w:p>
    <w:p>
      <w:pPr>
        <w:pStyle w:val="Heading2"/>
      </w:pPr>
      <w:bookmarkStart w:id="49" w:name="piano-operativo"/>
      <w:r>
        <w:t xml:space="preserve">5. Piano Operativo</w:t>
      </w:r>
      <w:bookmarkEnd w:id="49"/>
    </w:p>
    <w:p>
      <w:pPr>
        <w:pStyle w:val="Heading3"/>
      </w:pPr>
      <w:bookmarkStart w:id="50" w:name="processo-produttivo"/>
      <w:r>
        <w:t xml:space="preserve">5.1 Processo Produttivo</w:t>
      </w:r>
      <w:bookmarkEnd w:id="50"/>
    </w:p>
    <w:p>
      <w:pPr>
        <w:pStyle w:val="FirstParagraph"/>
      </w:pPr>
      <w:r>
        <w:t xml:space="preserve">Il nostro processo produttivo sarà strutturato in quattro fasi principali:</w:t>
      </w:r>
    </w:p>
    <w:p>
      <w:pPr>
        <w:numPr>
          <w:ilvl w:val="0"/>
          <w:numId w:val="1013"/>
        </w:numPr>
      </w:pPr>
      <w:r>
        <w:rPr>
          <w:b/>
        </w:rPr>
        <w:t xml:space="preserve">Approvvigionamento</w:t>
      </w:r>
      <w:r>
        <w:t xml:space="preserve">: Selezione e acquisto di materie prime di alta qualità.</w:t>
      </w:r>
    </w:p>
    <w:p>
      <w:pPr>
        <w:numPr>
          <w:ilvl w:val="0"/>
          <w:numId w:val="1013"/>
        </w:numPr>
      </w:pPr>
      <w:r>
        <w:rPr>
          <w:b/>
        </w:rPr>
        <w:t xml:space="preserve">Produzione</w:t>
      </w:r>
      <w:r>
        <w:t xml:space="preserve">: Utilizzo di processi ottimizzati per la produzione di materiali a base di grafene.</w:t>
      </w:r>
    </w:p>
    <w:p>
      <w:pPr>
        <w:numPr>
          <w:ilvl w:val="0"/>
          <w:numId w:val="1013"/>
        </w:numPr>
      </w:pPr>
      <w:r>
        <w:rPr>
          <w:b/>
        </w:rPr>
        <w:t xml:space="preserve">Controllo Qualità</w:t>
      </w:r>
      <w:r>
        <w:t xml:space="preserve">: Rigorosi protocolli di test per garantire la conformità agli standard.</w:t>
      </w:r>
    </w:p>
    <w:p>
      <w:pPr>
        <w:numPr>
          <w:ilvl w:val="0"/>
          <w:numId w:val="1013"/>
        </w:numPr>
      </w:pPr>
      <w:r>
        <w:rPr>
          <w:b/>
        </w:rPr>
        <w:t xml:space="preserve">Confezionamento e Logistica</w:t>
      </w:r>
      <w:r>
        <w:t xml:space="preserve">: Sistemi efficienti per la gestione del magazzino e la distribuzione.</w:t>
      </w:r>
    </w:p>
    <w:p>
      <w:pPr>
        <w:pStyle w:val="Heading3"/>
      </w:pPr>
      <w:bookmarkStart w:id="51" w:name="infrastruttura-e-attrezzature"/>
      <w:r>
        <w:t xml:space="preserve">5.2 Infrastruttura e Attrezzature</w:t>
      </w:r>
      <w:bookmarkEnd w:id="51"/>
    </w:p>
    <w:p>
      <w:pPr>
        <w:pStyle w:val="FirstParagraph"/>
      </w:pPr>
      <w:r>
        <w:t xml:space="preserve">Inizialmente, prevediamo di investire in:</w:t>
      </w:r>
    </w:p>
    <w:p>
      <w:pPr>
        <w:numPr>
          <w:ilvl w:val="0"/>
          <w:numId w:val="1014"/>
        </w:numPr>
        <w:pStyle w:val="Compact"/>
      </w:pPr>
      <w:r>
        <w:t xml:space="preserve">Laboratorio di R&amp;S con attrezzature per la caratterizzazione dei materiali</w:t>
      </w:r>
    </w:p>
    <w:p>
      <w:pPr>
        <w:numPr>
          <w:ilvl w:val="0"/>
          <w:numId w:val="1014"/>
        </w:numPr>
        <w:pStyle w:val="Compact"/>
      </w:pPr>
      <w:r>
        <w:t xml:space="preserve">Impianto pilota per la produzione su piccola scala</w:t>
      </w:r>
    </w:p>
    <w:p>
      <w:pPr>
        <w:numPr>
          <w:ilvl w:val="0"/>
          <w:numId w:val="1014"/>
        </w:numPr>
        <w:pStyle w:val="Compact"/>
      </w:pPr>
      <w:r>
        <w:t xml:space="preserve">Sistemi informatici per la gestione dei processi e dei dati</w:t>
      </w:r>
    </w:p>
    <w:p>
      <w:pPr>
        <w:numPr>
          <w:ilvl w:val="0"/>
          <w:numId w:val="1014"/>
        </w:numPr>
        <w:pStyle w:val="Compact"/>
      </w:pPr>
      <w:r>
        <w:t xml:space="preserve">Uffici e spazi per il personale amministrativo e commerciale</w:t>
      </w:r>
    </w:p>
    <w:p>
      <w:pPr>
        <w:pStyle w:val="Heading3"/>
      </w:pPr>
      <w:bookmarkStart w:id="52" w:name="fornitori-e-partner"/>
      <w:r>
        <w:t xml:space="preserve">5.3 Fornitori e Partner</w:t>
      </w:r>
      <w:bookmarkEnd w:id="52"/>
    </w:p>
    <w:p>
      <w:pPr>
        <w:pStyle w:val="FirstParagraph"/>
      </w:pPr>
      <w:r>
        <w:t xml:space="preserve">Stabiliremo relazioni strategiche con:</w:t>
      </w:r>
    </w:p>
    <w:p>
      <w:pPr>
        <w:numPr>
          <w:ilvl w:val="0"/>
          <w:numId w:val="1015"/>
        </w:numPr>
        <w:pStyle w:val="Compact"/>
      </w:pPr>
      <w:r>
        <w:t xml:space="preserve">Fornitori di materie prime (grafite, reagenti chimici)</w:t>
      </w:r>
    </w:p>
    <w:p>
      <w:pPr>
        <w:numPr>
          <w:ilvl w:val="0"/>
          <w:numId w:val="1015"/>
        </w:numPr>
        <w:pStyle w:val="Compact"/>
      </w:pPr>
      <w:r>
        <w:t xml:space="preserve">Produttori di attrezzature specializzate</w:t>
      </w:r>
    </w:p>
    <w:p>
      <w:pPr>
        <w:numPr>
          <w:ilvl w:val="0"/>
          <w:numId w:val="1015"/>
        </w:numPr>
        <w:pStyle w:val="Compact"/>
      </w:pPr>
      <w:r>
        <w:t xml:space="preserve">Laboratori esterni per test avanzati</w:t>
      </w:r>
    </w:p>
    <w:p>
      <w:pPr>
        <w:numPr>
          <w:ilvl w:val="0"/>
          <w:numId w:val="1015"/>
        </w:numPr>
        <w:pStyle w:val="Compact"/>
      </w:pPr>
      <w:r>
        <w:t xml:space="preserve">Centri di ricerca e università per collaborazioni in R&amp;S</w:t>
      </w:r>
    </w:p>
    <w:p>
      <w:pPr>
        <w:pStyle w:val="Heading3"/>
      </w:pPr>
      <w:bookmarkStart w:id="53" w:name="gestione-della-qualità"/>
      <w:r>
        <w:t xml:space="preserve">5.4 Gestione della Qualità</w:t>
      </w:r>
      <w:bookmarkEnd w:id="53"/>
    </w:p>
    <w:p>
      <w:pPr>
        <w:pStyle w:val="FirstParagraph"/>
      </w:pPr>
      <w:r>
        <w:t xml:space="preserve">Implementeremo un sistema di gestione della qualità conforme agli standard ISO, con:</w:t>
      </w:r>
    </w:p>
    <w:p>
      <w:pPr>
        <w:numPr>
          <w:ilvl w:val="0"/>
          <w:numId w:val="1016"/>
        </w:numPr>
        <w:pStyle w:val="Compact"/>
      </w:pPr>
      <w:r>
        <w:t xml:space="preserve">Procedure standardizzate per tutti i processi</w:t>
      </w:r>
    </w:p>
    <w:p>
      <w:pPr>
        <w:numPr>
          <w:ilvl w:val="0"/>
          <w:numId w:val="1016"/>
        </w:numPr>
        <w:pStyle w:val="Compact"/>
      </w:pPr>
      <w:r>
        <w:t xml:space="preserve">Controlli di qualità in ogni fase della produzione</w:t>
      </w:r>
    </w:p>
    <w:p>
      <w:pPr>
        <w:numPr>
          <w:ilvl w:val="0"/>
          <w:numId w:val="1016"/>
        </w:numPr>
        <w:pStyle w:val="Compact"/>
      </w:pPr>
      <w:r>
        <w:t xml:space="preserve">Tracciabilità completa dei materiali e dei processi</w:t>
      </w:r>
    </w:p>
    <w:p>
      <w:pPr>
        <w:numPr>
          <w:ilvl w:val="0"/>
          <w:numId w:val="1016"/>
        </w:numPr>
        <w:pStyle w:val="Compact"/>
      </w:pPr>
      <w:r>
        <w:t xml:space="preserve">Miglioramento continuo basato sul feedback dei clienti</w:t>
      </w:r>
    </w:p>
    <w:p>
      <w:pPr>
        <w:pStyle w:val="Heading3"/>
      </w:pPr>
      <w:bookmarkStart w:id="54" w:name="sostenibilità"/>
      <w:r>
        <w:t xml:space="preserve">5.5 Sostenibilità</w:t>
      </w:r>
      <w:bookmarkEnd w:id="54"/>
    </w:p>
    <w:p>
      <w:pPr>
        <w:pStyle w:val="FirstParagraph"/>
      </w:pPr>
      <w:r>
        <w:t xml:space="preserve">Integreremo principi di sostenibilità nelle nostre operazioni:</w:t>
      </w:r>
    </w:p>
    <w:p>
      <w:pPr>
        <w:numPr>
          <w:ilvl w:val="0"/>
          <w:numId w:val="1017"/>
        </w:numPr>
        <w:pStyle w:val="Compact"/>
      </w:pPr>
      <w:r>
        <w:t xml:space="preserve">Ottimizzazione dell’efficienza energetica nei processi produttivi</w:t>
      </w:r>
    </w:p>
    <w:p>
      <w:pPr>
        <w:numPr>
          <w:ilvl w:val="0"/>
          <w:numId w:val="1017"/>
        </w:numPr>
        <w:pStyle w:val="Compact"/>
      </w:pPr>
      <w:r>
        <w:t xml:space="preserve">Minimizzazione degli scarti e gestione responsabile dei rifiuti</w:t>
      </w:r>
    </w:p>
    <w:p>
      <w:pPr>
        <w:numPr>
          <w:ilvl w:val="0"/>
          <w:numId w:val="1017"/>
        </w:numPr>
        <w:pStyle w:val="Compact"/>
      </w:pPr>
      <w:r>
        <w:t xml:space="preserve">Valutazione del ciclo di vita dei prodotti</w:t>
      </w:r>
    </w:p>
    <w:p>
      <w:pPr>
        <w:numPr>
          <w:ilvl w:val="0"/>
          <w:numId w:val="1017"/>
        </w:numPr>
        <w:pStyle w:val="Compact"/>
      </w:pPr>
      <w:r>
        <w:t xml:space="preserve">Esplorazione di materie prime alternative e rinnovabili</w:t>
      </w:r>
    </w:p>
    <w:p>
      <w:pPr>
        <w:pStyle w:val="Heading2"/>
      </w:pPr>
      <w:bookmarkStart w:id="55" w:name="team-e-organizzazione"/>
      <w:r>
        <w:t xml:space="preserve">6. Team e Organizzazione</w:t>
      </w:r>
      <w:bookmarkEnd w:id="55"/>
    </w:p>
    <w:p>
      <w:pPr>
        <w:pStyle w:val="Heading3"/>
      </w:pPr>
      <w:bookmarkStart w:id="56" w:name="struttura-del-team"/>
      <w:r>
        <w:t xml:space="preserve">6.1 Struttura del Team</w:t>
      </w:r>
      <w:bookmarkEnd w:id="56"/>
    </w:p>
    <w:p>
      <w:pPr>
        <w:pStyle w:val="FirstParagraph"/>
      </w:pPr>
      <w:r>
        <w:t xml:space="preserve">Il team iniziale sarà composto da: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CEO/Fondatore</w:t>
      </w:r>
      <w:r>
        <w:t xml:space="preserve">: Visione strategica e leadership generale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Direttore Tecnico/CTO</w:t>
      </w:r>
      <w:r>
        <w:t xml:space="preserve">: Supervisione R&amp;S e produzione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Responsabile Business Development</w:t>
      </w:r>
      <w:r>
        <w:t xml:space="preserve">: Sviluppo commerciale e marketing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Responsabile Operativo</w:t>
      </w:r>
      <w:r>
        <w:t xml:space="preserve">: Gestione della produzione e della qualità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Ricercatori e Tecnici</w:t>
      </w:r>
      <w:r>
        <w:t xml:space="preserve">: Sviluppo prodotti e supporto tecnico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Personale Amministrativo</w:t>
      </w:r>
      <w:r>
        <w:t xml:space="preserve">: Supporto amministrativo e finanziario</w:t>
      </w:r>
    </w:p>
    <w:p>
      <w:pPr>
        <w:pStyle w:val="Heading3"/>
      </w:pPr>
      <w:bookmarkStart w:id="57" w:name="competenze-chiave"/>
      <w:r>
        <w:t xml:space="preserve">6.2 Competenze Chiave</w:t>
      </w:r>
      <w:bookmarkEnd w:id="57"/>
    </w:p>
    <w:p>
      <w:pPr>
        <w:pStyle w:val="FirstParagraph"/>
      </w:pPr>
      <w:r>
        <w:t xml:space="preserve">Le competenze essenziali per il successo includeranno:</w:t>
      </w:r>
    </w:p>
    <w:p>
      <w:pPr>
        <w:numPr>
          <w:ilvl w:val="0"/>
          <w:numId w:val="1019"/>
        </w:numPr>
        <w:pStyle w:val="Compact"/>
      </w:pPr>
      <w:r>
        <w:t xml:space="preserve">Conoscenza approfondita dei materiali 2D e delle loro applicazioni</w:t>
      </w:r>
    </w:p>
    <w:p>
      <w:pPr>
        <w:numPr>
          <w:ilvl w:val="0"/>
          <w:numId w:val="1019"/>
        </w:numPr>
        <w:pStyle w:val="Compact"/>
      </w:pPr>
      <w:r>
        <w:t xml:space="preserve">Esperienza nella produzione e caratterizzazione di nanomateriali</w:t>
      </w:r>
    </w:p>
    <w:p>
      <w:pPr>
        <w:numPr>
          <w:ilvl w:val="0"/>
          <w:numId w:val="1019"/>
        </w:numPr>
        <w:pStyle w:val="Compact"/>
      </w:pPr>
      <w:r>
        <w:t xml:space="preserve">Competenze in sviluppo business e vendite B2B</w:t>
      </w:r>
    </w:p>
    <w:p>
      <w:pPr>
        <w:numPr>
          <w:ilvl w:val="0"/>
          <w:numId w:val="1019"/>
        </w:numPr>
        <w:pStyle w:val="Compact"/>
      </w:pPr>
      <w:r>
        <w:t xml:space="preserve">Capacità di gestione di progetti di R&amp;S</w:t>
      </w:r>
    </w:p>
    <w:p>
      <w:pPr>
        <w:numPr>
          <w:ilvl w:val="0"/>
          <w:numId w:val="1019"/>
        </w:numPr>
        <w:pStyle w:val="Compact"/>
      </w:pPr>
      <w:r>
        <w:t xml:space="preserve">Conoscenza dei settori industriali target</w:t>
      </w:r>
    </w:p>
    <w:p>
      <w:pPr>
        <w:pStyle w:val="Heading3"/>
      </w:pPr>
      <w:bookmarkStart w:id="58" w:name="piano-di-assunzioni"/>
      <w:r>
        <w:t xml:space="preserve">6.3 Piano di Assunzioni</w:t>
      </w:r>
      <w:bookmarkEnd w:id="58"/>
    </w:p>
    <w:p>
      <w:pPr>
        <w:pStyle w:val="FirstParagraph"/>
      </w:pPr>
      <w:r>
        <w:t xml:space="preserve">Prevediamo di espandere il team secondo questo piano:</w:t>
      </w:r>
    </w:p>
    <w:p>
      <w:pPr>
        <w:numPr>
          <w:ilvl w:val="0"/>
          <w:numId w:val="1020"/>
        </w:numPr>
        <w:pStyle w:val="Compact"/>
      </w:pPr>
      <w:r>
        <w:rPr>
          <w:b/>
        </w:rPr>
        <w:t xml:space="preserve">Anno 1</w:t>
      </w:r>
      <w:r>
        <w:t xml:space="preserve">: 5-7 dipendenti (team fondatore e personale tecnico essenziale)</w:t>
      </w:r>
    </w:p>
    <w:p>
      <w:pPr>
        <w:numPr>
          <w:ilvl w:val="0"/>
          <w:numId w:val="1020"/>
        </w:numPr>
        <w:pStyle w:val="Compact"/>
      </w:pPr>
      <w:r>
        <w:rPr>
          <w:b/>
        </w:rPr>
        <w:t xml:space="preserve">Anno 2</w:t>
      </w:r>
      <w:r>
        <w:t xml:space="preserve">: 8-10 dipendenti (espansione R&amp;S e vendite)</w:t>
      </w:r>
    </w:p>
    <w:p>
      <w:pPr>
        <w:numPr>
          <w:ilvl w:val="0"/>
          <w:numId w:val="1020"/>
        </w:numPr>
        <w:pStyle w:val="Compact"/>
      </w:pPr>
      <w:r>
        <w:rPr>
          <w:b/>
        </w:rPr>
        <w:t xml:space="preserve">Anno 3</w:t>
      </w:r>
      <w:r>
        <w:t xml:space="preserve">: 12-15 dipendenti (potenziamento produzione e supporto clienti)</w:t>
      </w:r>
    </w:p>
    <w:p>
      <w:pPr>
        <w:numPr>
          <w:ilvl w:val="0"/>
          <w:numId w:val="1020"/>
        </w:numPr>
        <w:pStyle w:val="Compact"/>
      </w:pPr>
      <w:r>
        <w:rPr>
          <w:b/>
        </w:rPr>
        <w:t xml:space="preserve">Anno 5</w:t>
      </w:r>
      <w:r>
        <w:t xml:space="preserve">: 20-25 dipendenti (espansione in nuovi mercati e applicazioni)</w:t>
      </w:r>
    </w:p>
    <w:p>
      <w:pPr>
        <w:pStyle w:val="Heading3"/>
      </w:pPr>
      <w:bookmarkStart w:id="59" w:name="consulenti-e-advisor"/>
      <w:r>
        <w:t xml:space="preserve">6.4 Consulenti e Advisor</w:t>
      </w:r>
      <w:bookmarkEnd w:id="59"/>
    </w:p>
    <w:p>
      <w:pPr>
        <w:pStyle w:val="FirstParagraph"/>
      </w:pPr>
      <w:r>
        <w:t xml:space="preserve">Ci avvarremo del supporto di:</w:t>
      </w:r>
    </w:p>
    <w:p>
      <w:pPr>
        <w:numPr>
          <w:ilvl w:val="0"/>
          <w:numId w:val="1021"/>
        </w:numPr>
        <w:pStyle w:val="Compact"/>
      </w:pPr>
      <w:r>
        <w:t xml:space="preserve">Consulenti scientifici dalle università e centri di ricerca</w:t>
      </w:r>
    </w:p>
    <w:p>
      <w:pPr>
        <w:numPr>
          <w:ilvl w:val="0"/>
          <w:numId w:val="1021"/>
        </w:numPr>
        <w:pStyle w:val="Compact"/>
      </w:pPr>
      <w:r>
        <w:t xml:space="preserve">Advisor industriali con esperienza nei settori target</w:t>
      </w:r>
    </w:p>
    <w:p>
      <w:pPr>
        <w:numPr>
          <w:ilvl w:val="0"/>
          <w:numId w:val="1021"/>
        </w:numPr>
        <w:pStyle w:val="Compact"/>
      </w:pPr>
      <w:r>
        <w:t xml:space="preserve">Consulenti legali specializzati in proprietà intellettuale</w:t>
      </w:r>
    </w:p>
    <w:p>
      <w:pPr>
        <w:numPr>
          <w:ilvl w:val="0"/>
          <w:numId w:val="1021"/>
        </w:numPr>
        <w:pStyle w:val="Compact"/>
      </w:pPr>
      <w:r>
        <w:t xml:space="preserve">Consulenti finanziari per la pianificazione strategica</w:t>
      </w:r>
    </w:p>
    <w:p>
      <w:pPr>
        <w:pStyle w:val="Heading2"/>
      </w:pPr>
      <w:bookmarkStart w:id="60" w:name="piano-finanziario"/>
      <w:r>
        <w:t xml:space="preserve">7. Piano Finanziario</w:t>
      </w:r>
      <w:bookmarkEnd w:id="60"/>
    </w:p>
    <w:p>
      <w:pPr>
        <w:pStyle w:val="Heading3"/>
      </w:pPr>
      <w:bookmarkStart w:id="61" w:name="investimento-iniziale"/>
      <w:r>
        <w:t xml:space="preserve">7.1 Investimento Iniziale</w:t>
      </w:r>
      <w:bookmarkEnd w:id="61"/>
    </w:p>
    <w:p>
      <w:pPr>
        <w:pStyle w:val="FirstParagraph"/>
      </w:pPr>
      <w:r>
        <w:t xml:space="preserve">L’investimento iniziale stimato è di 1,5 milioni di euro, così suddivisi:</w:t>
      </w:r>
    </w:p>
    <w:p>
      <w:pPr>
        <w:numPr>
          <w:ilvl w:val="0"/>
          <w:numId w:val="1022"/>
        </w:numPr>
        <w:pStyle w:val="Compact"/>
      </w:pPr>
      <w:r>
        <w:rPr>
          <w:b/>
        </w:rPr>
        <w:t xml:space="preserve">R&amp;S e Sviluppo Prodotti</w:t>
      </w:r>
      <w:r>
        <w:t xml:space="preserve">: 500.000 €</w:t>
      </w:r>
    </w:p>
    <w:p>
      <w:pPr>
        <w:numPr>
          <w:ilvl w:val="0"/>
          <w:numId w:val="1022"/>
        </w:numPr>
        <w:pStyle w:val="Compact"/>
      </w:pPr>
      <w:r>
        <w:rPr>
          <w:b/>
        </w:rPr>
        <w:t xml:space="preserve">Attrezzature e Infrastruttura</w:t>
      </w:r>
      <w:r>
        <w:t xml:space="preserve">: 400.000 €</w:t>
      </w:r>
    </w:p>
    <w:p>
      <w:pPr>
        <w:numPr>
          <w:ilvl w:val="0"/>
          <w:numId w:val="1022"/>
        </w:numPr>
        <w:pStyle w:val="Compact"/>
      </w:pPr>
      <w:r>
        <w:rPr>
          <w:b/>
        </w:rPr>
        <w:t xml:space="preserve">Marketing e Sviluppo Business</w:t>
      </w:r>
      <w:r>
        <w:t xml:space="preserve">: 200.000 €</w:t>
      </w:r>
    </w:p>
    <w:p>
      <w:pPr>
        <w:numPr>
          <w:ilvl w:val="0"/>
          <w:numId w:val="1022"/>
        </w:numPr>
        <w:pStyle w:val="Compact"/>
      </w:pPr>
      <w:r>
        <w:rPr>
          <w:b/>
        </w:rPr>
        <w:t xml:space="preserve">Costi Operativi (primi 12 mesi)</w:t>
      </w:r>
      <w:r>
        <w:t xml:space="preserve">: 300.000 €</w:t>
      </w:r>
    </w:p>
    <w:p>
      <w:pPr>
        <w:numPr>
          <w:ilvl w:val="0"/>
          <w:numId w:val="1022"/>
        </w:numPr>
        <w:pStyle w:val="Compact"/>
      </w:pPr>
      <w:r>
        <w:rPr>
          <w:b/>
        </w:rPr>
        <w:t xml:space="preserve">Riserva di Contingenza</w:t>
      </w:r>
      <w:r>
        <w:t xml:space="preserve">: 100.000 €</w:t>
      </w:r>
    </w:p>
    <w:p>
      <w:pPr>
        <w:pStyle w:val="Heading3"/>
      </w:pPr>
      <w:bookmarkStart w:id="62" w:name="proiezioni-finanziarie"/>
      <w:r>
        <w:t xml:space="preserve">7.2 Proiezioni Finanziarie</w:t>
      </w:r>
      <w:bookmarkEnd w:id="62"/>
    </w:p>
    <w:p>
      <w:pPr>
        <w:pStyle w:val="FirstParagraph"/>
      </w:pPr>
      <w:r>
        <w:rPr>
          <w:b/>
        </w:rPr>
        <w:t xml:space="preserve">Ricavi Previsti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1</w:t>
      </w:r>
      <w:r>
        <w:t xml:space="preserve">: 250.000 €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2</w:t>
      </w:r>
      <w:r>
        <w:t xml:space="preserve">: 750.000 €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3</w:t>
      </w:r>
      <w:r>
        <w:t xml:space="preserve">: 1.500.000 €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4</w:t>
      </w:r>
      <w:r>
        <w:t xml:space="preserve">: 2.000.000 €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5</w:t>
      </w:r>
      <w:r>
        <w:t xml:space="preserve">: 2.500.000 €</w:t>
      </w:r>
    </w:p>
    <w:p>
      <w:pPr>
        <w:pStyle w:val="BodyText"/>
      </w:pPr>
      <w:r>
        <w:rPr>
          <w:b/>
        </w:rPr>
        <w:t xml:space="preserve">EBITDA Previsto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1</w:t>
      </w:r>
      <w:r>
        <w:t xml:space="preserve">: -300.000 € (negativo)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2</w:t>
      </w:r>
      <w:r>
        <w:t xml:space="preserve">: -100.000 € (negativo)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3</w:t>
      </w:r>
      <w:r>
        <w:t xml:space="preserve">: 150.000 € (10% dei ricavi)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4</w:t>
      </w:r>
      <w:r>
        <w:t xml:space="preserve">: 300.000 € (15% dei ricavi)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Anno 5</w:t>
      </w:r>
      <w:r>
        <w:t xml:space="preserve">: 500.000 € (20% dei ricavi)</w:t>
      </w:r>
    </w:p>
    <w:p>
      <w:pPr>
        <w:pStyle w:val="Heading3"/>
      </w:pPr>
      <w:bookmarkStart w:id="63" w:name="fonti-di-finanziamento"/>
      <w:r>
        <w:t xml:space="preserve">7.3 Fonti di Finanziamento</w:t>
      </w:r>
      <w:bookmarkEnd w:id="63"/>
    </w:p>
    <w:p>
      <w:pPr>
        <w:pStyle w:val="FirstParagraph"/>
      </w:pPr>
      <w:r>
        <w:t xml:space="preserve">Prevediamo di finanziare l’azienda attraverso:</w:t>
      </w:r>
    </w:p>
    <w:p>
      <w:pPr>
        <w:numPr>
          <w:ilvl w:val="0"/>
          <w:numId w:val="1023"/>
        </w:numPr>
        <w:pStyle w:val="Compact"/>
      </w:pPr>
      <w:r>
        <w:rPr>
          <w:b/>
        </w:rPr>
        <w:t xml:space="preserve">Capitale dei Fondatori</w:t>
      </w:r>
      <w:r>
        <w:t xml:space="preserve">: 200.000 €</w:t>
      </w:r>
    </w:p>
    <w:p>
      <w:pPr>
        <w:numPr>
          <w:ilvl w:val="0"/>
          <w:numId w:val="1023"/>
        </w:numPr>
        <w:pStyle w:val="Compact"/>
      </w:pPr>
      <w:r>
        <w:rPr>
          <w:b/>
        </w:rPr>
        <w:t xml:space="preserve">Investitori Angel/Seed</w:t>
      </w:r>
      <w:r>
        <w:t xml:space="preserve">: 500.000 €</w:t>
      </w:r>
    </w:p>
    <w:p>
      <w:pPr>
        <w:numPr>
          <w:ilvl w:val="0"/>
          <w:numId w:val="1023"/>
        </w:numPr>
        <w:pStyle w:val="Compact"/>
      </w:pPr>
      <w:r>
        <w:rPr>
          <w:b/>
        </w:rPr>
        <w:t xml:space="preserve">Venture Capital</w:t>
      </w:r>
      <w:r>
        <w:t xml:space="preserve">: 800.000 €</w:t>
      </w:r>
    </w:p>
    <w:p>
      <w:pPr>
        <w:numPr>
          <w:ilvl w:val="0"/>
          <w:numId w:val="1023"/>
        </w:numPr>
        <w:pStyle w:val="Compact"/>
      </w:pPr>
      <w:r>
        <w:rPr>
          <w:b/>
        </w:rPr>
        <w:t xml:space="preserve">Finanziamenti Pubblici e Sovvenzioni</w:t>
      </w:r>
      <w:r>
        <w:t xml:space="preserve">: Horizon Europe, fondi nazionali per l’innovazione</w:t>
      </w:r>
    </w:p>
    <w:p>
      <w:pPr>
        <w:numPr>
          <w:ilvl w:val="0"/>
          <w:numId w:val="1023"/>
        </w:numPr>
        <w:pStyle w:val="Compact"/>
      </w:pPr>
      <w:r>
        <w:rPr>
          <w:b/>
        </w:rPr>
        <w:t xml:space="preserve">Ricavi Operativi</w:t>
      </w:r>
      <w:r>
        <w:t xml:space="preserve">: Reinvestimento dei profitti</w:t>
      </w:r>
    </w:p>
    <w:p>
      <w:pPr>
        <w:pStyle w:val="Heading3"/>
      </w:pPr>
      <w:bookmarkStart w:id="64" w:name="analisi-del-break-even"/>
      <w:r>
        <w:t xml:space="preserve">7.4 Analisi del Break-Even</w:t>
      </w:r>
      <w:bookmarkEnd w:id="64"/>
    </w:p>
    <w:p>
      <w:pPr>
        <w:pStyle w:val="FirstParagraph"/>
      </w:pPr>
      <w:r>
        <w:t xml:space="preserve">Prevediamo di raggiungere il break-even operativo entro il terzo anno di attività, quando i ricavi annuali supereranno 1,5 milioni di euro.</w:t>
      </w:r>
    </w:p>
    <w:p>
      <w:pPr>
        <w:pStyle w:val="Heading3"/>
      </w:pPr>
      <w:bookmarkStart w:id="65" w:name="indicatori-chiave-di-performance-kpi"/>
      <w:r>
        <w:t xml:space="preserve">7.5 Indicatori Chiave di Performance (KPI)</w:t>
      </w:r>
      <w:bookmarkEnd w:id="65"/>
    </w:p>
    <w:p>
      <w:pPr>
        <w:pStyle w:val="FirstParagraph"/>
      </w:pPr>
      <w:r>
        <w:t xml:space="preserve">Monitoreremo regolarmente:</w:t>
      </w:r>
    </w:p>
    <w:p>
      <w:pPr>
        <w:numPr>
          <w:ilvl w:val="0"/>
          <w:numId w:val="1024"/>
        </w:numPr>
        <w:pStyle w:val="Compact"/>
      </w:pPr>
      <w:r>
        <w:t xml:space="preserve">Tasso di crescita dei ricavi</w:t>
      </w:r>
    </w:p>
    <w:p>
      <w:pPr>
        <w:numPr>
          <w:ilvl w:val="0"/>
          <w:numId w:val="1024"/>
        </w:numPr>
        <w:pStyle w:val="Compact"/>
      </w:pPr>
      <w:r>
        <w:t xml:space="preserve">Margine lordo per linea di prodotto</w:t>
      </w:r>
    </w:p>
    <w:p>
      <w:pPr>
        <w:numPr>
          <w:ilvl w:val="0"/>
          <w:numId w:val="1024"/>
        </w:numPr>
        <w:pStyle w:val="Compact"/>
      </w:pPr>
      <w:r>
        <w:t xml:space="preserve">Costo di acquisizione clienti</w:t>
      </w:r>
    </w:p>
    <w:p>
      <w:pPr>
        <w:numPr>
          <w:ilvl w:val="0"/>
          <w:numId w:val="1024"/>
        </w:numPr>
        <w:pStyle w:val="Compact"/>
      </w:pPr>
      <w:r>
        <w:t xml:space="preserve">Valore medio e durata delle relazioni con i clienti</w:t>
      </w:r>
    </w:p>
    <w:p>
      <w:pPr>
        <w:numPr>
          <w:ilvl w:val="0"/>
          <w:numId w:val="1024"/>
        </w:numPr>
        <w:pStyle w:val="Compact"/>
      </w:pPr>
      <w:r>
        <w:t xml:space="preserve">ROI dei progetti di R&amp;S</w:t>
      </w:r>
    </w:p>
    <w:p>
      <w:pPr>
        <w:numPr>
          <w:ilvl w:val="0"/>
          <w:numId w:val="1024"/>
        </w:numPr>
        <w:pStyle w:val="Compact"/>
      </w:pPr>
      <w:r>
        <w:t xml:space="preserve">Efficienza produttiva e tassi di scarto</w:t>
      </w:r>
    </w:p>
    <w:p>
      <w:pPr>
        <w:pStyle w:val="Heading2"/>
      </w:pPr>
      <w:bookmarkStart w:id="66" w:name="Xc16418948c27bec14760572b25e135778e29bde"/>
      <w:r>
        <w:t xml:space="preserve">8. Analisi dei Rischi e Strategie di Mitigazione</w:t>
      </w:r>
      <w:bookmarkEnd w:id="66"/>
    </w:p>
    <w:p>
      <w:pPr>
        <w:pStyle w:val="Heading3"/>
      </w:pPr>
      <w:bookmarkStart w:id="67" w:name="rischi-tecnologici"/>
      <w:r>
        <w:t xml:space="preserve">8.1 Rischi Tecnologici</w:t>
      </w:r>
      <w:bookmarkEnd w:id="67"/>
    </w:p>
    <w:p>
      <w:pPr>
        <w:pStyle w:val="FirstParagraph"/>
      </w:pPr>
      <w:r>
        <w:rPr>
          <w:b/>
        </w:rPr>
        <w:t xml:space="preserve">Rischio</w:t>
      </w:r>
      <w:r>
        <w:t xml:space="preserve">: Difficoltà nello scaling dei processi di produzione.</w:t>
      </w:r>
      <w:r>
        <w:t xml:space="preserve"> </w:t>
      </w:r>
      <w:r>
        <w:rPr>
          <w:b/>
        </w:rPr>
        <w:t xml:space="preserve">Mitigazione</w:t>
      </w:r>
      <w:r>
        <w:t xml:space="preserve">: Sviluppo incrementale, test pilota, collaborazione con partner industriali.</w:t>
      </w:r>
    </w:p>
    <w:p>
      <w:pPr>
        <w:pStyle w:val="BodyText"/>
      </w:pPr>
      <w:r>
        <w:rPr>
          <w:b/>
        </w:rPr>
        <w:t xml:space="preserve">Rischio</w:t>
      </w:r>
      <w:r>
        <w:t xml:space="preserve">: Prestazioni dei prodotti inferiori alle aspettative.</w:t>
      </w:r>
      <w:r>
        <w:t xml:space="preserve"> </w:t>
      </w:r>
      <w:r>
        <w:rPr>
          <w:b/>
        </w:rPr>
        <w:t xml:space="preserve">Mitigazione</w:t>
      </w:r>
      <w:r>
        <w:t xml:space="preserve">: Rigorosi test di validazione, gestione delle aspettative dei clienti, miglioramento continuo.</w:t>
      </w:r>
    </w:p>
    <w:p>
      <w:pPr>
        <w:pStyle w:val="Heading3"/>
      </w:pPr>
      <w:bookmarkStart w:id="68" w:name="rischi-di-mercato"/>
      <w:r>
        <w:t xml:space="preserve">8.2 Rischi di Mercato</w:t>
      </w:r>
      <w:bookmarkEnd w:id="68"/>
    </w:p>
    <w:p>
      <w:pPr>
        <w:pStyle w:val="FirstParagraph"/>
      </w:pPr>
      <w:r>
        <w:rPr>
          <w:b/>
        </w:rPr>
        <w:t xml:space="preserve">Rischio</w:t>
      </w:r>
      <w:r>
        <w:t xml:space="preserve">: Adozione più lenta del previsto da parte dei clienti.</w:t>
      </w:r>
      <w:r>
        <w:t xml:space="preserve"> </w:t>
      </w:r>
      <w:r>
        <w:rPr>
          <w:b/>
        </w:rPr>
        <w:t xml:space="preserve">Mitigazione</w:t>
      </w:r>
      <w:r>
        <w:t xml:space="preserve">: Progetti pilota dimostrativi, garanzie di prestazione, supporto tecnico dedicato.</w:t>
      </w:r>
    </w:p>
    <w:p>
      <w:pPr>
        <w:pStyle w:val="BodyText"/>
      </w:pPr>
      <w:r>
        <w:rPr>
          <w:b/>
        </w:rPr>
        <w:t xml:space="preserve">Rischio</w:t>
      </w:r>
      <w:r>
        <w:t xml:space="preserve">: Concorrenza da materiali alternativi o tecnologie emergenti.</w:t>
      </w:r>
      <w:r>
        <w:t xml:space="preserve"> </w:t>
      </w:r>
      <w:r>
        <w:rPr>
          <w:b/>
        </w:rPr>
        <w:t xml:space="preserve">Mitigazione</w:t>
      </w:r>
      <w:r>
        <w:t xml:space="preserve">: Monitoraggio continuo del mercato, diversificazione del portafoglio, focus su vantaggi unici.</w:t>
      </w:r>
    </w:p>
    <w:p>
      <w:pPr>
        <w:pStyle w:val="Heading3"/>
      </w:pPr>
      <w:bookmarkStart w:id="69" w:name="rischi-operativi"/>
      <w:r>
        <w:t xml:space="preserve">8.3 Rischi Operativi</w:t>
      </w:r>
      <w:bookmarkEnd w:id="69"/>
    </w:p>
    <w:p>
      <w:pPr>
        <w:pStyle w:val="FirstParagraph"/>
      </w:pPr>
      <w:r>
        <w:rPr>
          <w:b/>
        </w:rPr>
        <w:t xml:space="preserve">Rischio</w:t>
      </w:r>
      <w:r>
        <w:t xml:space="preserve">: Difficoltà nell’approvvigionamento di materie prime.</w:t>
      </w:r>
      <w:r>
        <w:t xml:space="preserve"> </w:t>
      </w:r>
      <w:r>
        <w:rPr>
          <w:b/>
        </w:rPr>
        <w:t xml:space="preserve">Mitigazione</w:t>
      </w:r>
      <w:r>
        <w:t xml:space="preserve">: Diversificazione dei fornitori, contratti a lungo termine, scorte strategiche.</w:t>
      </w:r>
    </w:p>
    <w:p>
      <w:pPr>
        <w:pStyle w:val="BodyText"/>
      </w:pPr>
      <w:r>
        <w:rPr>
          <w:b/>
        </w:rPr>
        <w:t xml:space="preserve">Rischio</w:t>
      </w:r>
      <w:r>
        <w:t xml:space="preserve">: Problemi di qualità o conformità.</w:t>
      </w:r>
      <w:r>
        <w:t xml:space="preserve"> </w:t>
      </w:r>
      <w:r>
        <w:rPr>
          <w:b/>
        </w:rPr>
        <w:t xml:space="preserve">Mitigazione</w:t>
      </w:r>
      <w:r>
        <w:t xml:space="preserve">: Rigorosi sistemi di controllo qualità, certificazioni, formazione continua.</w:t>
      </w:r>
    </w:p>
    <w:p>
      <w:pPr>
        <w:pStyle w:val="Heading3"/>
      </w:pPr>
      <w:bookmarkStart w:id="70" w:name="rischi-finanziari"/>
      <w:r>
        <w:t xml:space="preserve">8.4 Rischi Finanziari</w:t>
      </w:r>
      <w:bookmarkEnd w:id="70"/>
    </w:p>
    <w:p>
      <w:pPr>
        <w:pStyle w:val="FirstParagraph"/>
      </w:pPr>
      <w:r>
        <w:rPr>
          <w:b/>
        </w:rPr>
        <w:t xml:space="preserve">Rischio</w:t>
      </w:r>
      <w:r>
        <w:t xml:space="preserve">: Insufficienza di capitale per finanziare la crescita.</w:t>
      </w:r>
      <w:r>
        <w:t xml:space="preserve"> </w:t>
      </w:r>
      <w:r>
        <w:rPr>
          <w:b/>
        </w:rPr>
        <w:t xml:space="preserve">Mitigazione</w:t>
      </w:r>
      <w:r>
        <w:t xml:space="preserve">: Piano di finanziamento scaglionato, milestone chiare, relazioni con più investitori.</w:t>
      </w:r>
    </w:p>
    <w:p>
      <w:pPr>
        <w:pStyle w:val="BodyText"/>
      </w:pPr>
      <w:r>
        <w:rPr>
          <w:b/>
        </w:rPr>
        <w:t xml:space="preserve">Rischio</w:t>
      </w:r>
      <w:r>
        <w:t xml:space="preserve">: Costi di sviluppo superiori alle previsioni.</w:t>
      </w:r>
      <w:r>
        <w:t xml:space="preserve"> </w:t>
      </w:r>
      <w:r>
        <w:rPr>
          <w:b/>
        </w:rPr>
        <w:t xml:space="preserve">Mitigazione</w:t>
      </w:r>
      <w:r>
        <w:t xml:space="preserve">: Budget conservativi, monitoraggio costante, riserve di contingenza.</w:t>
      </w:r>
    </w:p>
    <w:p>
      <w:pPr>
        <w:pStyle w:val="Heading2"/>
      </w:pPr>
      <w:bookmarkStart w:id="71" w:name="roadmap-di-implementazione"/>
      <w:r>
        <w:t xml:space="preserve">9. Roadmap di Implementazione</w:t>
      </w:r>
      <w:bookmarkEnd w:id="71"/>
    </w:p>
    <w:p>
      <w:pPr>
        <w:pStyle w:val="Heading3"/>
      </w:pPr>
      <w:bookmarkStart w:id="72" w:name="fase-di-avvio-0-12-mesi"/>
      <w:r>
        <w:t xml:space="preserve">9.1 Fase di Avvio (0-12 mesi)</w:t>
      </w:r>
      <w:bookmarkEnd w:id="72"/>
    </w:p>
    <w:p>
      <w:pPr>
        <w:numPr>
          <w:ilvl w:val="0"/>
          <w:numId w:val="1025"/>
        </w:numPr>
        <w:pStyle w:val="Compact"/>
      </w:pPr>
      <w:r>
        <w:t xml:space="preserve">Costituzione della società e completamento del team fondatore</w:t>
      </w:r>
    </w:p>
    <w:p>
      <w:pPr>
        <w:numPr>
          <w:ilvl w:val="0"/>
          <w:numId w:val="1025"/>
        </w:numPr>
        <w:pStyle w:val="Compact"/>
      </w:pPr>
      <w:r>
        <w:t xml:space="preserve">Sviluppo dei primi prototipi di prodotto</w:t>
      </w:r>
    </w:p>
    <w:p>
      <w:pPr>
        <w:numPr>
          <w:ilvl w:val="0"/>
          <w:numId w:val="1025"/>
        </w:numPr>
        <w:pStyle w:val="Compact"/>
      </w:pPr>
      <w:r>
        <w:t xml:space="preserve">Validazione tecnica in laboratorio</w:t>
      </w:r>
    </w:p>
    <w:p>
      <w:pPr>
        <w:numPr>
          <w:ilvl w:val="0"/>
          <w:numId w:val="1025"/>
        </w:numPr>
        <w:pStyle w:val="Compact"/>
      </w:pPr>
      <w:r>
        <w:t xml:space="preserve">Identificazione e contatto con clienti pilota</w:t>
      </w:r>
    </w:p>
    <w:p>
      <w:pPr>
        <w:numPr>
          <w:ilvl w:val="0"/>
          <w:numId w:val="1025"/>
        </w:numPr>
        <w:pStyle w:val="Compact"/>
      </w:pPr>
      <w:r>
        <w:t xml:space="preserve">Ottenimento di finanziamenti iniziali</w:t>
      </w:r>
    </w:p>
    <w:p>
      <w:pPr>
        <w:pStyle w:val="Heading3"/>
      </w:pPr>
      <w:bookmarkStart w:id="73" w:name="fase-di-sviluppo-12-24-mesi"/>
      <w:r>
        <w:t xml:space="preserve">9.2 Fase di Sviluppo (12-24 mesi)</w:t>
      </w:r>
      <w:bookmarkEnd w:id="73"/>
    </w:p>
    <w:p>
      <w:pPr>
        <w:numPr>
          <w:ilvl w:val="0"/>
          <w:numId w:val="1026"/>
        </w:numPr>
        <w:pStyle w:val="Compact"/>
      </w:pPr>
      <w:r>
        <w:t xml:space="preserve">Completamento dello sviluppo dei primi prodotti commerciali</w:t>
      </w:r>
    </w:p>
    <w:p>
      <w:pPr>
        <w:numPr>
          <w:ilvl w:val="0"/>
          <w:numId w:val="1026"/>
        </w:numPr>
        <w:pStyle w:val="Compact"/>
      </w:pPr>
      <w:r>
        <w:t xml:space="preserve">Implementazione dell’impianto pilota</w:t>
      </w:r>
    </w:p>
    <w:p>
      <w:pPr>
        <w:numPr>
          <w:ilvl w:val="0"/>
          <w:numId w:val="1026"/>
        </w:numPr>
        <w:pStyle w:val="Compact"/>
      </w:pPr>
      <w:r>
        <w:t xml:space="preserve">Avvio di progetti dimostrativi con clienti selezionati</w:t>
      </w:r>
    </w:p>
    <w:p>
      <w:pPr>
        <w:numPr>
          <w:ilvl w:val="0"/>
          <w:numId w:val="1026"/>
        </w:numPr>
        <w:pStyle w:val="Compact"/>
      </w:pPr>
      <w:r>
        <w:t xml:space="preserve">Espansione del team R&amp;S e commerciale</w:t>
      </w:r>
    </w:p>
    <w:p>
      <w:pPr>
        <w:numPr>
          <w:ilvl w:val="0"/>
          <w:numId w:val="1026"/>
        </w:numPr>
        <w:pStyle w:val="Compact"/>
      </w:pPr>
      <w:r>
        <w:t xml:space="preserve">Deposito delle prime domande di brevetto</w:t>
      </w:r>
    </w:p>
    <w:p>
      <w:pPr>
        <w:pStyle w:val="Heading3"/>
      </w:pPr>
      <w:bookmarkStart w:id="74" w:name="fase-di-crescita-24-36-mesi"/>
      <w:r>
        <w:t xml:space="preserve">9.3 Fase di Crescita (24-36 mesi)</w:t>
      </w:r>
      <w:bookmarkEnd w:id="74"/>
    </w:p>
    <w:p>
      <w:pPr>
        <w:numPr>
          <w:ilvl w:val="0"/>
          <w:numId w:val="1027"/>
        </w:numPr>
        <w:pStyle w:val="Compact"/>
      </w:pPr>
      <w:r>
        <w:t xml:space="preserve">Lancio commerciale completo dei prodotti</w:t>
      </w:r>
    </w:p>
    <w:p>
      <w:pPr>
        <w:numPr>
          <w:ilvl w:val="0"/>
          <w:numId w:val="1027"/>
        </w:numPr>
        <w:pStyle w:val="Compact"/>
      </w:pPr>
      <w:r>
        <w:t xml:space="preserve">Espansione della capacità produttiva</w:t>
      </w:r>
    </w:p>
    <w:p>
      <w:pPr>
        <w:numPr>
          <w:ilvl w:val="0"/>
          <w:numId w:val="1027"/>
        </w:numPr>
        <w:pStyle w:val="Compact"/>
      </w:pPr>
      <w:r>
        <w:t xml:space="preserve">Sviluppo di nuove applicazioni e prodotti</w:t>
      </w:r>
    </w:p>
    <w:p>
      <w:pPr>
        <w:numPr>
          <w:ilvl w:val="0"/>
          <w:numId w:val="1027"/>
        </w:numPr>
        <w:pStyle w:val="Compact"/>
      </w:pPr>
      <w:r>
        <w:t xml:space="preserve">Ampliamento della base clienti</w:t>
      </w:r>
    </w:p>
    <w:p>
      <w:pPr>
        <w:numPr>
          <w:ilvl w:val="0"/>
          <w:numId w:val="1027"/>
        </w:numPr>
        <w:pStyle w:val="Compact"/>
      </w:pPr>
      <w:r>
        <w:t xml:space="preserve">Raggiungimento del break-even operativo</w:t>
      </w:r>
    </w:p>
    <w:p>
      <w:pPr>
        <w:pStyle w:val="Heading3"/>
      </w:pPr>
      <w:bookmarkStart w:id="75" w:name="fase-di-espansione-36-60-mesi"/>
      <w:r>
        <w:t xml:space="preserve">9.4 Fase di Espansione (36-60 mesi)</w:t>
      </w:r>
      <w:bookmarkEnd w:id="75"/>
    </w:p>
    <w:p>
      <w:pPr>
        <w:numPr>
          <w:ilvl w:val="0"/>
          <w:numId w:val="1028"/>
        </w:numPr>
        <w:pStyle w:val="Compact"/>
      </w:pPr>
      <w:r>
        <w:t xml:space="preserve">Espansione geografica in nuovi mercati</w:t>
      </w:r>
    </w:p>
    <w:p>
      <w:pPr>
        <w:numPr>
          <w:ilvl w:val="0"/>
          <w:numId w:val="1028"/>
        </w:numPr>
        <w:pStyle w:val="Compact"/>
      </w:pPr>
      <w:r>
        <w:t xml:space="preserve">Diversificazione del portafoglio prodotti</w:t>
      </w:r>
    </w:p>
    <w:p>
      <w:pPr>
        <w:numPr>
          <w:ilvl w:val="0"/>
          <w:numId w:val="1028"/>
        </w:numPr>
        <w:pStyle w:val="Compact"/>
      </w:pPr>
      <w:r>
        <w:t xml:space="preserve">Sviluppo di partnership strategiche</w:t>
      </w:r>
    </w:p>
    <w:p>
      <w:pPr>
        <w:numPr>
          <w:ilvl w:val="0"/>
          <w:numId w:val="1028"/>
        </w:numPr>
        <w:pStyle w:val="Compact"/>
      </w:pPr>
      <w:r>
        <w:t xml:space="preserve">Valutazione di opportunità di M&amp;A</w:t>
      </w:r>
    </w:p>
    <w:p>
      <w:pPr>
        <w:numPr>
          <w:ilvl w:val="0"/>
          <w:numId w:val="1028"/>
        </w:numPr>
        <w:pStyle w:val="Compact"/>
      </w:pPr>
      <w:r>
        <w:t xml:space="preserve">Preparazione per potenziale round di finanziamento Series A</w:t>
      </w:r>
    </w:p>
    <w:p>
      <w:pPr>
        <w:pStyle w:val="Heading2"/>
      </w:pPr>
      <w:bookmarkStart w:id="76" w:name="X4b7db7526d4a100a80c7ec2480c546e2bf12ea1"/>
      <w:r>
        <w:t xml:space="preserve">10. Conclusioni e Opportunità per gli Investitori</w:t>
      </w:r>
      <w:bookmarkEnd w:id="76"/>
    </w:p>
    <w:p>
      <w:pPr>
        <w:pStyle w:val="Heading3"/>
      </w:pPr>
      <w:bookmarkStart w:id="77" w:name="riepilogo-dellopportunità"/>
      <w:r>
        <w:t xml:space="preserve">10.1 Riepilogo dell’Opportunità</w:t>
      </w:r>
      <w:bookmarkEnd w:id="77"/>
    </w:p>
    <w:p>
      <w:pPr>
        <w:pStyle w:val="FirstParagraph"/>
      </w:pPr>
      <w:r>
        <w:t xml:space="preserve">La nostra società offre un’opportunità unica di investimento in un mercato in rapida crescita, con:</w:t>
      </w:r>
    </w:p>
    <w:p>
      <w:pPr>
        <w:numPr>
          <w:ilvl w:val="0"/>
          <w:numId w:val="1029"/>
        </w:numPr>
        <w:pStyle w:val="Compact"/>
      </w:pPr>
      <w:r>
        <w:t xml:space="preserve">Tecnologie innovative nel campo dei materiali 2D</w:t>
      </w:r>
    </w:p>
    <w:p>
      <w:pPr>
        <w:numPr>
          <w:ilvl w:val="0"/>
          <w:numId w:val="1029"/>
        </w:numPr>
        <w:pStyle w:val="Compact"/>
      </w:pPr>
      <w:r>
        <w:t xml:space="preserve">Team con competenze specialistiche</w:t>
      </w:r>
    </w:p>
    <w:p>
      <w:pPr>
        <w:numPr>
          <w:ilvl w:val="0"/>
          <w:numId w:val="1029"/>
        </w:numPr>
        <w:pStyle w:val="Compact"/>
      </w:pPr>
      <w:r>
        <w:t xml:space="preserve">Mercato target in espansione con numerose applicazioni</w:t>
      </w:r>
    </w:p>
    <w:p>
      <w:pPr>
        <w:numPr>
          <w:ilvl w:val="0"/>
          <w:numId w:val="1029"/>
        </w:numPr>
        <w:pStyle w:val="Compact"/>
      </w:pPr>
      <w:r>
        <w:t xml:space="preserve">Potenziale di crescita significativo</w:t>
      </w:r>
    </w:p>
    <w:p>
      <w:pPr>
        <w:pStyle w:val="Heading3"/>
      </w:pPr>
      <w:bookmarkStart w:id="78" w:name="proposta-per-gli-investitori"/>
      <w:r>
        <w:t xml:space="preserve">10.2 Proposta per gli Investitori</w:t>
      </w:r>
      <w:bookmarkEnd w:id="78"/>
    </w:p>
    <w:p>
      <w:pPr>
        <w:pStyle w:val="FirstParagraph"/>
      </w:pPr>
      <w:r>
        <w:t xml:space="preserve">Stiamo cercando un investimento totale di 1,5 milioni di euro in cambio di una partecipazione azionaria del 30-40%, con:</w:t>
      </w:r>
    </w:p>
    <w:p>
      <w:pPr>
        <w:numPr>
          <w:ilvl w:val="0"/>
          <w:numId w:val="1030"/>
        </w:numPr>
        <w:pStyle w:val="Compact"/>
      </w:pPr>
      <w:r>
        <w:t xml:space="preserve">Valutazione pre-money di 2,5-3,5 milioni di euro</w:t>
      </w:r>
    </w:p>
    <w:p>
      <w:pPr>
        <w:numPr>
          <w:ilvl w:val="0"/>
          <w:numId w:val="1030"/>
        </w:numPr>
        <w:pStyle w:val="Compact"/>
      </w:pPr>
      <w:r>
        <w:t xml:space="preserve">Rappresentanza nel consiglio di amministrazione</w:t>
      </w:r>
    </w:p>
    <w:p>
      <w:pPr>
        <w:numPr>
          <w:ilvl w:val="0"/>
          <w:numId w:val="1030"/>
        </w:numPr>
        <w:pStyle w:val="Compact"/>
      </w:pPr>
      <w:r>
        <w:t xml:space="preserve">Reporting trimestrale sulle performance</w:t>
      </w:r>
    </w:p>
    <w:p>
      <w:pPr>
        <w:numPr>
          <w:ilvl w:val="0"/>
          <w:numId w:val="1030"/>
        </w:numPr>
        <w:pStyle w:val="Compact"/>
      </w:pPr>
      <w:r>
        <w:t xml:space="preserve">Strategia di exit prevista in 5-7 anni</w:t>
      </w:r>
    </w:p>
    <w:p>
      <w:pPr>
        <w:pStyle w:val="Heading3"/>
      </w:pPr>
      <w:bookmarkStart w:id="79" w:name="utilizzo-dei-fondi"/>
      <w:r>
        <w:t xml:space="preserve">10.3 Utilizzo dei Fondi</w:t>
      </w:r>
      <w:bookmarkEnd w:id="79"/>
    </w:p>
    <w:p>
      <w:pPr>
        <w:pStyle w:val="FirstParagraph"/>
      </w:pPr>
      <w:r>
        <w:t xml:space="preserve">I fondi raccolti saranno utilizzati per:</w:t>
      </w:r>
    </w:p>
    <w:p>
      <w:pPr>
        <w:numPr>
          <w:ilvl w:val="0"/>
          <w:numId w:val="1031"/>
        </w:numPr>
        <w:pStyle w:val="Compact"/>
      </w:pPr>
      <w:r>
        <w:t xml:space="preserve">Sviluppo e validazione dei prodotti (33%)</w:t>
      </w:r>
    </w:p>
    <w:p>
      <w:pPr>
        <w:numPr>
          <w:ilvl w:val="0"/>
          <w:numId w:val="1031"/>
        </w:numPr>
        <w:pStyle w:val="Compact"/>
      </w:pPr>
      <w:r>
        <w:t xml:space="preserve">Infrastruttura e attrezzature (27%)</w:t>
      </w:r>
    </w:p>
    <w:p>
      <w:pPr>
        <w:numPr>
          <w:ilvl w:val="0"/>
          <w:numId w:val="1031"/>
        </w:numPr>
        <w:pStyle w:val="Compact"/>
      </w:pPr>
      <w:r>
        <w:t xml:space="preserve">Marketing e sviluppo business (13%)</w:t>
      </w:r>
    </w:p>
    <w:p>
      <w:pPr>
        <w:numPr>
          <w:ilvl w:val="0"/>
          <w:numId w:val="1031"/>
        </w:numPr>
        <w:pStyle w:val="Compact"/>
      </w:pPr>
      <w:r>
        <w:t xml:space="preserve">Costi operativi (20%)</w:t>
      </w:r>
    </w:p>
    <w:p>
      <w:pPr>
        <w:numPr>
          <w:ilvl w:val="0"/>
          <w:numId w:val="1031"/>
        </w:numPr>
        <w:pStyle w:val="Compact"/>
      </w:pPr>
      <w:r>
        <w:t xml:space="preserve">Riserva di contingenza (7%)</w:t>
      </w:r>
    </w:p>
    <w:p>
      <w:pPr>
        <w:pStyle w:val="Heading3"/>
      </w:pPr>
      <w:bookmarkStart w:id="80" w:name="potenziale-di-ritorno-sullinvestimento"/>
      <w:r>
        <w:t xml:space="preserve">10.4 Potenziale di Ritorno sull’Investimento</w:t>
      </w:r>
      <w:bookmarkEnd w:id="80"/>
    </w:p>
    <w:p>
      <w:pPr>
        <w:pStyle w:val="FirstParagraph"/>
      </w:pPr>
      <w:r>
        <w:t xml:space="preserve">Basandoci sulle proiezioni di crescita del mercato e sul nostro piano di sviluppo, stimiamo:</w:t>
      </w:r>
    </w:p>
    <w:p>
      <w:pPr>
        <w:numPr>
          <w:ilvl w:val="0"/>
          <w:numId w:val="1032"/>
        </w:numPr>
        <w:pStyle w:val="Compact"/>
      </w:pPr>
      <w:r>
        <w:t xml:space="preserve">Valutazione potenziale di 15-20 milioni di euro entro 5 anni</w:t>
      </w:r>
    </w:p>
    <w:p>
      <w:pPr>
        <w:numPr>
          <w:ilvl w:val="0"/>
          <w:numId w:val="1032"/>
        </w:numPr>
        <w:pStyle w:val="Compact"/>
      </w:pPr>
      <w:r>
        <w:t xml:space="preserve">Multiplo di ritorno per gli investitori iniziali di 3-5x</w:t>
      </w:r>
    </w:p>
    <w:p>
      <w:pPr>
        <w:numPr>
          <w:ilvl w:val="0"/>
          <w:numId w:val="1032"/>
        </w:numPr>
        <w:pStyle w:val="Compact"/>
      </w:pPr>
      <w:r>
        <w:t xml:space="preserve">Possibili strategie di exit: acquisizione da parte di aziende industriali, IPO, vendita a investitori strategici</w:t>
      </w:r>
    </w:p>
    <w:p>
      <w:pPr>
        <w:pStyle w:val="Heading3"/>
      </w:pPr>
      <w:bookmarkStart w:id="81" w:name="prossimi-passi"/>
      <w:r>
        <w:t xml:space="preserve">10.5 Prossimi Passi</w:t>
      </w:r>
      <w:bookmarkEnd w:id="81"/>
    </w:p>
    <w:p>
      <w:pPr>
        <w:pStyle w:val="FirstParagraph"/>
      </w:pPr>
      <w:r>
        <w:t xml:space="preserve">Invitiamo gli investitori interessati a:</w:t>
      </w:r>
    </w:p>
    <w:p>
      <w:pPr>
        <w:numPr>
          <w:ilvl w:val="0"/>
          <w:numId w:val="1033"/>
        </w:numPr>
        <w:pStyle w:val="Compact"/>
      </w:pPr>
      <w:r>
        <w:t xml:space="preserve">Approfondire la conoscenza del nostro team e della nostra tecnologia</w:t>
      </w:r>
    </w:p>
    <w:p>
      <w:pPr>
        <w:numPr>
          <w:ilvl w:val="0"/>
          <w:numId w:val="1033"/>
        </w:numPr>
        <w:pStyle w:val="Compact"/>
      </w:pPr>
      <w:r>
        <w:t xml:space="preserve">Discutere potenziali sinergie e contributi strategici</w:t>
      </w:r>
    </w:p>
    <w:p>
      <w:pPr>
        <w:numPr>
          <w:ilvl w:val="0"/>
          <w:numId w:val="1033"/>
        </w:numPr>
        <w:pStyle w:val="Compact"/>
      </w:pPr>
      <w:r>
        <w:t xml:space="preserve">Partecipare a una dimostrazione dei nostri prodotti</w:t>
      </w:r>
    </w:p>
    <w:p>
      <w:pPr>
        <w:numPr>
          <w:ilvl w:val="0"/>
          <w:numId w:val="1033"/>
        </w:numPr>
        <w:pStyle w:val="Compact"/>
      </w:pPr>
      <w:r>
        <w:t xml:space="preserve">Negoziare i termini dettagliati dell’investimento</w:t>
      </w:r>
    </w:p>
    <w:p>
      <w:pPr>
        <w:pStyle w:val="Heading2"/>
      </w:pPr>
      <w:bookmarkStart w:id="82" w:name="appendici"/>
      <w:r>
        <w:t xml:space="preserve">Appendici</w:t>
      </w:r>
      <w:bookmarkEnd w:id="82"/>
    </w:p>
    <w:p>
      <w:pPr>
        <w:pStyle w:val="Heading3"/>
      </w:pPr>
      <w:bookmarkStart w:id="83" w:name="Xf81490114ab30eb927fb52ea0ba7125b25ae31a"/>
      <w:r>
        <w:t xml:space="preserve">Appendice A: Dettagli Tecnici sui Materiali 2D e il Grafene</w:t>
      </w:r>
      <w:bookmarkEnd w:id="83"/>
    </w:p>
    <w:p>
      <w:pPr>
        <w:pStyle w:val="Heading3"/>
      </w:pPr>
      <w:bookmarkStart w:id="84" w:name="Xb0ee5931962cb6858cb46fccc09ebf2d3c5eb45"/>
      <w:r>
        <w:t xml:space="preserve">Appendice B: Analisi Dettagliata del Mercato</w:t>
      </w:r>
      <w:bookmarkEnd w:id="84"/>
    </w:p>
    <w:p>
      <w:pPr>
        <w:pStyle w:val="Heading3"/>
      </w:pPr>
      <w:bookmarkStart w:id="85" w:name="X5b10625d73f5535b2008920eeb2d41b099604f5"/>
      <w:r>
        <w:t xml:space="preserve">Appendice C: Curriculum dei Membri Chiave del Team</w:t>
      </w:r>
      <w:bookmarkEnd w:id="85"/>
    </w:p>
    <w:p>
      <w:pPr>
        <w:pStyle w:val="Heading3"/>
      </w:pPr>
      <w:bookmarkStart w:id="86" w:name="X71650e19bc0f5c7ec09cfdd4cebc23f47253d90"/>
      <w:r>
        <w:t xml:space="preserve">Appendice D: Proiezioni Finanziarie Dettagliate</w:t>
      </w:r>
      <w:bookmarkEnd w:id="86"/>
    </w:p>
    <w:p>
      <w:pPr>
        <w:pStyle w:val="Heading3"/>
      </w:pPr>
      <w:bookmarkStart w:id="87" w:name="X10e01d62a90ef4b49d218a2f181007ec264679f"/>
      <w:r>
        <w:t xml:space="preserve">Appendice E: Lettere di Interesse da Potenziali Clienti</w:t>
      </w:r>
      <w:bookmarkEnd w:id="87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2025-04-11T06:17:45Z</dcterms:created>
  <dcterms:modified xsi:type="dcterms:W3CDTF">2025-04-11T06:17:45Z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