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bcfebe92d07d42d5ddb4a56a2237813f414376"/>
      <w:r>
        <w:t xml:space="preserve">Roadmap Strategica: Sviluppo di una Società nel Settore dei Materiali 2D</w:t>
      </w:r>
      <w:bookmarkEnd w:id="20"/>
    </w:p>
    <w:p>
      <w:pPr>
        <w:pStyle w:val="Heading2"/>
      </w:pPr>
      <w:bookmarkStart w:id="21" w:name="introduzione"/>
      <w:r>
        <w:t xml:space="preserve">Introduzione</w:t>
      </w:r>
      <w:bookmarkEnd w:id="21"/>
    </w:p>
    <w:p>
      <w:pPr>
        <w:pStyle w:val="FirstParagraph"/>
      </w:pPr>
      <w:r>
        <w:t xml:space="preserve">Questa roadmap strategica delinea il percorso di sviluppo per una nuova società specializzata nei materiali 2D, con particolare focus sul grafene. Il documento presenta una pianificazione dettagliata delle attività, degli obiettivi e delle milestone da raggiungere in un orizzonte temporale di 5 anni, suddiviso in fasi progressive di sviluppo.</w:t>
      </w:r>
    </w:p>
    <w:p>
      <w:pPr>
        <w:pStyle w:val="BodyText"/>
      </w:pPr>
      <w:r>
        <w:t xml:space="preserve">La roadmap è stata progettata per guidare l’implementazione del piano di business e fornire una visione chiara delle priorità strategiche e delle tempistiche per investitori, partner e team interno. Il documento integra considerazioni tecnologiche, di mercato, finanziarie e organizzative per massimizzare le probabilità di successo dell’iniziativa.</w:t>
      </w:r>
    </w:p>
    <w:p>
      <w:pPr>
        <w:pStyle w:val="Heading2"/>
      </w:pPr>
      <w:bookmarkStart w:id="22" w:name="panoramica-delle-fasi-di-sviluppo"/>
      <w:r>
        <w:t xml:space="preserve">Panoramica delle Fasi di Sviluppo</w:t>
      </w:r>
      <w:bookmarkEnd w:id="22"/>
    </w:p>
    <w:p>
      <w:pPr>
        <w:pStyle w:val="FirstParagraph"/>
      </w:pPr>
      <w:r>
        <w:t xml:space="preserve">La roadmap è strutturata in quattro fasi principali:</w:t>
      </w:r>
    </w:p>
    <w:p>
      <w:pPr>
        <w:numPr>
          <w:ilvl w:val="0"/>
          <w:numId w:val="1001"/>
        </w:numPr>
      </w:pPr>
      <w:r>
        <w:rPr>
          <w:b/>
        </w:rPr>
        <w:t xml:space="preserve">Fase di Avvio</w:t>
      </w:r>
      <w:r>
        <w:t xml:space="preserve"> </w:t>
      </w:r>
      <w:r>
        <w:t xml:space="preserve">(0-12 mesi): Costituzione della società, sviluppo dei primi prototipi e validazione del concetto di business.</w:t>
      </w:r>
    </w:p>
    <w:p>
      <w:pPr>
        <w:numPr>
          <w:ilvl w:val="0"/>
          <w:numId w:val="1001"/>
        </w:numPr>
      </w:pPr>
      <w:r>
        <w:rPr>
          <w:b/>
        </w:rPr>
        <w:t xml:space="preserve">Fase di Sviluppo</w:t>
      </w:r>
      <w:r>
        <w:t xml:space="preserve"> </w:t>
      </w:r>
      <w:r>
        <w:t xml:space="preserve">(12-24 mesi): Completamento dello sviluppo prodotti, implementazione dell’impianto pilota e avvio dei primi progetti commerciali.</w:t>
      </w:r>
    </w:p>
    <w:p>
      <w:pPr>
        <w:numPr>
          <w:ilvl w:val="0"/>
          <w:numId w:val="1001"/>
        </w:numPr>
      </w:pPr>
      <w:r>
        <w:rPr>
          <w:b/>
        </w:rPr>
        <w:t xml:space="preserve">Fase di Crescita</w:t>
      </w:r>
      <w:r>
        <w:t xml:space="preserve"> </w:t>
      </w:r>
      <w:r>
        <w:t xml:space="preserve">(24-36 mesi): Espansione commerciale, aumento della capacità produttiva e raggiungimento del break-even operativo.</w:t>
      </w:r>
    </w:p>
    <w:p>
      <w:pPr>
        <w:numPr>
          <w:ilvl w:val="0"/>
          <w:numId w:val="1001"/>
        </w:numPr>
      </w:pPr>
      <w:r>
        <w:rPr>
          <w:b/>
        </w:rPr>
        <w:t xml:space="preserve">Fase di Espansione</w:t>
      </w:r>
      <w:r>
        <w:t xml:space="preserve"> </w:t>
      </w:r>
      <w:r>
        <w:t xml:space="preserve">(36-60 mesi): Diversificazione del portafoglio prodotti, espansione geografica e preparazione per la fase successiva di crescita.</w:t>
      </w:r>
    </w:p>
    <w:p>
      <w:pPr>
        <w:pStyle w:val="Heading2"/>
      </w:pPr>
      <w:bookmarkStart w:id="23" w:name="fase-1-avvio-0-12-mesi"/>
      <w:r>
        <w:t xml:space="preserve">Fase 1: Avvio (0-12 mesi)</w:t>
      </w:r>
      <w:bookmarkEnd w:id="23"/>
    </w:p>
    <w:p>
      <w:pPr>
        <w:pStyle w:val="Heading3"/>
      </w:pPr>
      <w:bookmarkStart w:id="24" w:name="obiettivi-principali"/>
      <w:r>
        <w:t xml:space="preserve">Obiettivi Principali</w:t>
      </w:r>
      <w:bookmarkEnd w:id="24"/>
    </w:p>
    <w:p>
      <w:pPr>
        <w:numPr>
          <w:ilvl w:val="0"/>
          <w:numId w:val="1002"/>
        </w:numPr>
        <w:pStyle w:val="Compact"/>
      </w:pPr>
      <w:r>
        <w:t xml:space="preserve">Costituire legalmente la società e completare il team fondatore</w:t>
      </w:r>
    </w:p>
    <w:p>
      <w:pPr>
        <w:numPr>
          <w:ilvl w:val="0"/>
          <w:numId w:val="1002"/>
        </w:numPr>
        <w:pStyle w:val="Compact"/>
      </w:pPr>
      <w:r>
        <w:t xml:space="preserve">Sviluppare i primi prototipi di prodotto</w:t>
      </w:r>
    </w:p>
    <w:p>
      <w:pPr>
        <w:numPr>
          <w:ilvl w:val="0"/>
          <w:numId w:val="1002"/>
        </w:numPr>
        <w:pStyle w:val="Compact"/>
      </w:pPr>
      <w:r>
        <w:t xml:space="preserve">Validare il concetto di business con potenziali clienti</w:t>
      </w:r>
    </w:p>
    <w:p>
      <w:pPr>
        <w:numPr>
          <w:ilvl w:val="0"/>
          <w:numId w:val="1002"/>
        </w:numPr>
        <w:pStyle w:val="Compact"/>
      </w:pPr>
      <w:r>
        <w:t xml:space="preserve">Ottenere i finanziamenti iniziali</w:t>
      </w:r>
    </w:p>
    <w:p>
      <w:pPr>
        <w:pStyle w:val="Heading3"/>
      </w:pPr>
      <w:bookmarkStart w:id="25" w:name="attività-chiave-e-timeline"/>
      <w:r>
        <w:t xml:space="preserve">Attività Chiave e Timeline</w:t>
      </w:r>
      <w:bookmarkEnd w:id="25"/>
    </w:p>
    <w:p>
      <w:pPr>
        <w:pStyle w:val="Heading4"/>
      </w:pPr>
      <w:bookmarkStart w:id="26" w:name="mesi-0-3-costituzione-e-pianificazione"/>
      <w:r>
        <w:t xml:space="preserve">Mesi 0-3: Costituzione e Pianificazione</w:t>
      </w:r>
      <w:bookmarkEnd w:id="26"/>
    </w:p>
    <w:p>
      <w:pPr>
        <w:numPr>
          <w:ilvl w:val="0"/>
          <w:numId w:val="1003"/>
        </w:numPr>
        <w:pStyle w:val="Compact"/>
      </w:pPr>
      <w:r>
        <w:rPr>
          <w:b/>
        </w:rPr>
        <w:t xml:space="preserve">Costituzione legale della società</w:t>
      </w:r>
      <w:r>
        <w:t xml:space="preserve"> </w:t>
      </w:r>
      <w:r>
        <w:t xml:space="preserve">(Mese 1)</w:t>
      </w:r>
    </w:p>
    <w:p>
      <w:pPr>
        <w:numPr>
          <w:ilvl w:val="1"/>
          <w:numId w:val="1004"/>
        </w:numPr>
        <w:pStyle w:val="Compact"/>
      </w:pPr>
      <w:r>
        <w:t xml:space="preserve">Definizione della forma giuridica</w:t>
      </w:r>
    </w:p>
    <w:p>
      <w:pPr>
        <w:numPr>
          <w:ilvl w:val="1"/>
          <w:numId w:val="1004"/>
        </w:numPr>
        <w:pStyle w:val="Compact"/>
      </w:pPr>
      <w:r>
        <w:t xml:space="preserve">Registrazione della società</w:t>
      </w:r>
    </w:p>
    <w:p>
      <w:pPr>
        <w:numPr>
          <w:ilvl w:val="1"/>
          <w:numId w:val="1004"/>
        </w:numPr>
        <w:pStyle w:val="Compact"/>
      </w:pPr>
      <w:r>
        <w:t xml:space="preserve">Apertura conti bancari</w:t>
      </w:r>
    </w:p>
    <w:p>
      <w:pPr>
        <w:numPr>
          <w:ilvl w:val="1"/>
          <w:numId w:val="1004"/>
        </w:numPr>
        <w:pStyle w:val="Compact"/>
      </w:pPr>
      <w:r>
        <w:t xml:space="preserve">Definizione degli accordi tra fondatori</w:t>
      </w:r>
    </w:p>
    <w:p>
      <w:pPr>
        <w:numPr>
          <w:ilvl w:val="0"/>
          <w:numId w:val="1003"/>
        </w:numPr>
        <w:pStyle w:val="Compact"/>
      </w:pPr>
      <w:r>
        <w:rPr>
          <w:b/>
        </w:rPr>
        <w:t xml:space="preserve">Completamento del team fondatore</w:t>
      </w:r>
      <w:r>
        <w:t xml:space="preserve"> </w:t>
      </w:r>
      <w:r>
        <w:t xml:space="preserve">(Mese 2)</w:t>
      </w:r>
    </w:p>
    <w:p>
      <w:pPr>
        <w:numPr>
          <w:ilvl w:val="1"/>
          <w:numId w:val="1005"/>
        </w:numPr>
        <w:pStyle w:val="Compact"/>
      </w:pPr>
      <w:r>
        <w:t xml:space="preserve">Reclutamento del Direttore Tecnico/CTO</w:t>
      </w:r>
    </w:p>
    <w:p>
      <w:pPr>
        <w:numPr>
          <w:ilvl w:val="1"/>
          <w:numId w:val="1005"/>
        </w:numPr>
        <w:pStyle w:val="Compact"/>
      </w:pPr>
      <w:r>
        <w:t xml:space="preserve">Reclutamento del Responsabile Business Development</w:t>
      </w:r>
    </w:p>
    <w:p>
      <w:pPr>
        <w:numPr>
          <w:ilvl w:val="1"/>
          <w:numId w:val="1005"/>
        </w:numPr>
        <w:pStyle w:val="Compact"/>
      </w:pPr>
      <w:r>
        <w:t xml:space="preserve">Definizione dei ruoli e delle responsabilità</w:t>
      </w:r>
    </w:p>
    <w:p>
      <w:pPr>
        <w:numPr>
          <w:ilvl w:val="0"/>
          <w:numId w:val="1003"/>
        </w:numPr>
        <w:pStyle w:val="Compact"/>
      </w:pPr>
      <w:r>
        <w:rPr>
          <w:b/>
        </w:rPr>
        <w:t xml:space="preserve">Sviluppo del piano operativo dettagliato</w:t>
      </w:r>
      <w:r>
        <w:t xml:space="preserve"> </w:t>
      </w:r>
      <w:r>
        <w:t xml:space="preserve">(Mese 3)</w:t>
      </w:r>
    </w:p>
    <w:p>
      <w:pPr>
        <w:numPr>
          <w:ilvl w:val="1"/>
          <w:numId w:val="1006"/>
        </w:numPr>
        <w:pStyle w:val="Compact"/>
      </w:pPr>
      <w:r>
        <w:t xml:space="preserve">Definizione delle specifiche tecniche dei prodotti</w:t>
      </w:r>
    </w:p>
    <w:p>
      <w:pPr>
        <w:numPr>
          <w:ilvl w:val="1"/>
          <w:numId w:val="1006"/>
        </w:numPr>
        <w:pStyle w:val="Compact"/>
      </w:pPr>
      <w:r>
        <w:t xml:space="preserve">Pianificazione delle attività di R&amp;S</w:t>
      </w:r>
    </w:p>
    <w:p>
      <w:pPr>
        <w:numPr>
          <w:ilvl w:val="1"/>
          <w:numId w:val="1006"/>
        </w:numPr>
        <w:pStyle w:val="Compact"/>
      </w:pPr>
      <w:r>
        <w:t xml:space="preserve">Definizione del budget operativo dettagliato</w:t>
      </w:r>
    </w:p>
    <w:p>
      <w:pPr>
        <w:pStyle w:val="Heading4"/>
      </w:pPr>
      <w:bookmarkStart w:id="27" w:name="mesi-4-6-sviluppo-tecnologico-iniziale"/>
      <w:r>
        <w:t xml:space="preserve">Mesi 4-6: Sviluppo Tecnologico Iniziale</w:t>
      </w:r>
      <w:bookmarkEnd w:id="27"/>
    </w:p>
    <w:p>
      <w:pPr>
        <w:numPr>
          <w:ilvl w:val="0"/>
          <w:numId w:val="1007"/>
        </w:numPr>
        <w:pStyle w:val="Compact"/>
      </w:pPr>
      <w:r>
        <w:rPr>
          <w:b/>
        </w:rPr>
        <w:t xml:space="preserve">Allestimento del laboratorio di R&amp;S</w:t>
      </w:r>
      <w:r>
        <w:t xml:space="preserve"> </w:t>
      </w:r>
      <w:r>
        <w:t xml:space="preserve">(Mese 4)</w:t>
      </w:r>
    </w:p>
    <w:p>
      <w:pPr>
        <w:numPr>
          <w:ilvl w:val="1"/>
          <w:numId w:val="1008"/>
        </w:numPr>
        <w:pStyle w:val="Compact"/>
      </w:pPr>
      <w:r>
        <w:t xml:space="preserve">Identificazione e affitto degli spazi</w:t>
      </w:r>
    </w:p>
    <w:p>
      <w:pPr>
        <w:numPr>
          <w:ilvl w:val="1"/>
          <w:numId w:val="1008"/>
        </w:numPr>
        <w:pStyle w:val="Compact"/>
      </w:pPr>
      <w:r>
        <w:t xml:space="preserve">Acquisto delle attrezzature essenziali</w:t>
      </w:r>
    </w:p>
    <w:p>
      <w:pPr>
        <w:numPr>
          <w:ilvl w:val="1"/>
          <w:numId w:val="1008"/>
        </w:numPr>
        <w:pStyle w:val="Compact"/>
      </w:pPr>
      <w:r>
        <w:t xml:space="preserve">Implementazione dei protocolli di sicurezza</w:t>
      </w:r>
    </w:p>
    <w:p>
      <w:pPr>
        <w:numPr>
          <w:ilvl w:val="0"/>
          <w:numId w:val="1007"/>
        </w:numPr>
        <w:pStyle w:val="Compact"/>
      </w:pPr>
      <w:r>
        <w:rPr>
          <w:b/>
        </w:rPr>
        <w:t xml:space="preserve">Avvio delle attività di R&amp;S</w:t>
      </w:r>
      <w:r>
        <w:t xml:space="preserve"> </w:t>
      </w:r>
      <w:r>
        <w:t xml:space="preserve">(Mese 5)</w:t>
      </w:r>
    </w:p>
    <w:p>
      <w:pPr>
        <w:numPr>
          <w:ilvl w:val="1"/>
          <w:numId w:val="1009"/>
        </w:numPr>
        <w:pStyle w:val="Compact"/>
      </w:pPr>
      <w:r>
        <w:t xml:space="preserve">Sviluppo dei processi di produzione su scala di laboratorio</w:t>
      </w:r>
    </w:p>
    <w:p>
      <w:pPr>
        <w:numPr>
          <w:ilvl w:val="1"/>
          <w:numId w:val="1009"/>
        </w:numPr>
        <w:pStyle w:val="Compact"/>
      </w:pPr>
      <w:r>
        <w:t xml:space="preserve">Caratterizzazione dei materiali</w:t>
      </w:r>
    </w:p>
    <w:p>
      <w:pPr>
        <w:numPr>
          <w:ilvl w:val="1"/>
          <w:numId w:val="1009"/>
        </w:numPr>
        <w:pStyle w:val="Compact"/>
      </w:pPr>
      <w:r>
        <w:t xml:space="preserve">Definizione dei protocolli di controllo qualità</w:t>
      </w:r>
    </w:p>
    <w:p>
      <w:pPr>
        <w:numPr>
          <w:ilvl w:val="0"/>
          <w:numId w:val="1007"/>
        </w:numPr>
        <w:pStyle w:val="Compact"/>
      </w:pPr>
      <w:r>
        <w:rPr>
          <w:b/>
        </w:rPr>
        <w:t xml:space="preserve">Sviluppo dei primi prototipi</w:t>
      </w:r>
      <w:r>
        <w:t xml:space="preserve"> </w:t>
      </w:r>
      <w:r>
        <w:t xml:space="preserve">(Mese 6)</w:t>
      </w:r>
    </w:p>
    <w:p>
      <w:pPr>
        <w:numPr>
          <w:ilvl w:val="1"/>
          <w:numId w:val="1010"/>
        </w:numPr>
        <w:pStyle w:val="Compact"/>
      </w:pPr>
      <w:r>
        <w:t xml:space="preserve">Produzione di campioni di GrafComp™</w:t>
      </w:r>
    </w:p>
    <w:p>
      <w:pPr>
        <w:numPr>
          <w:ilvl w:val="1"/>
          <w:numId w:val="1010"/>
        </w:numPr>
        <w:pStyle w:val="Compact"/>
      </w:pPr>
      <w:r>
        <w:t xml:space="preserve">Produzione di campioni di EnerGraf™</w:t>
      </w:r>
    </w:p>
    <w:p>
      <w:pPr>
        <w:numPr>
          <w:ilvl w:val="1"/>
          <w:numId w:val="1010"/>
        </w:numPr>
        <w:pStyle w:val="Compact"/>
      </w:pPr>
      <w:r>
        <w:t xml:space="preserve">Produzione di campioni di CoatGraf™</w:t>
      </w:r>
    </w:p>
    <w:p>
      <w:pPr>
        <w:pStyle w:val="Heading4"/>
      </w:pPr>
      <w:bookmarkStart w:id="28" w:name="mesi-7-9-validazione-e-networking"/>
      <w:r>
        <w:t xml:space="preserve">Mesi 7-9: Validazione e Networking</w:t>
      </w:r>
      <w:bookmarkEnd w:id="28"/>
    </w:p>
    <w:p>
      <w:pPr>
        <w:numPr>
          <w:ilvl w:val="0"/>
          <w:numId w:val="1011"/>
        </w:numPr>
        <w:pStyle w:val="Compact"/>
      </w:pPr>
      <w:r>
        <w:rPr>
          <w:b/>
        </w:rPr>
        <w:t xml:space="preserve">Test e validazione dei prototipi</w:t>
      </w:r>
      <w:r>
        <w:t xml:space="preserve"> </w:t>
      </w:r>
      <w:r>
        <w:t xml:space="preserve">(Mese 7)</w:t>
      </w:r>
    </w:p>
    <w:p>
      <w:pPr>
        <w:numPr>
          <w:ilvl w:val="1"/>
          <w:numId w:val="1012"/>
        </w:numPr>
        <w:pStyle w:val="Compact"/>
      </w:pPr>
      <w:r>
        <w:t xml:space="preserve">Test interni di prestazione</w:t>
      </w:r>
    </w:p>
    <w:p>
      <w:pPr>
        <w:numPr>
          <w:ilvl w:val="1"/>
          <w:numId w:val="1012"/>
        </w:numPr>
        <w:pStyle w:val="Compact"/>
      </w:pPr>
      <w:r>
        <w:t xml:space="preserve">Analisi comparative con materiali esistenti</w:t>
      </w:r>
    </w:p>
    <w:p>
      <w:pPr>
        <w:numPr>
          <w:ilvl w:val="1"/>
          <w:numId w:val="1012"/>
        </w:numPr>
        <w:pStyle w:val="Compact"/>
      </w:pPr>
      <w:r>
        <w:t xml:space="preserve">Ottimizzazione delle formulazioni</w:t>
      </w:r>
    </w:p>
    <w:p>
      <w:pPr>
        <w:numPr>
          <w:ilvl w:val="0"/>
          <w:numId w:val="1011"/>
        </w:numPr>
        <w:pStyle w:val="Compact"/>
      </w:pPr>
      <w:r>
        <w:rPr>
          <w:b/>
        </w:rPr>
        <w:t xml:space="preserve">Identificazione e contatto con clienti pilota</w:t>
      </w:r>
      <w:r>
        <w:t xml:space="preserve"> </w:t>
      </w:r>
      <w:r>
        <w:t xml:space="preserve">(Mese 8)</w:t>
      </w:r>
    </w:p>
    <w:p>
      <w:pPr>
        <w:numPr>
          <w:ilvl w:val="1"/>
          <w:numId w:val="1013"/>
        </w:numPr>
        <w:pStyle w:val="Compact"/>
      </w:pPr>
      <w:r>
        <w:t xml:space="preserve">Mappatura dei potenziali clienti nei settori target</w:t>
      </w:r>
    </w:p>
    <w:p>
      <w:pPr>
        <w:numPr>
          <w:ilvl w:val="1"/>
          <w:numId w:val="1013"/>
        </w:numPr>
        <w:pStyle w:val="Compact"/>
      </w:pPr>
      <w:r>
        <w:t xml:space="preserve">Sviluppo di materiali di presentazione</w:t>
      </w:r>
    </w:p>
    <w:p>
      <w:pPr>
        <w:numPr>
          <w:ilvl w:val="1"/>
          <w:numId w:val="1013"/>
        </w:numPr>
        <w:pStyle w:val="Compact"/>
      </w:pPr>
      <w:r>
        <w:t xml:space="preserve">Avvio dei primi contatti commerciali</w:t>
      </w:r>
    </w:p>
    <w:p>
      <w:pPr>
        <w:numPr>
          <w:ilvl w:val="0"/>
          <w:numId w:val="1011"/>
        </w:numPr>
        <w:pStyle w:val="Compact"/>
      </w:pPr>
      <w:r>
        <w:rPr>
          <w:b/>
        </w:rPr>
        <w:t xml:space="preserve">Networking e partnership</w:t>
      </w:r>
      <w:r>
        <w:t xml:space="preserve"> </w:t>
      </w:r>
      <w:r>
        <w:t xml:space="preserve">(Mese 9)</w:t>
      </w:r>
    </w:p>
    <w:p>
      <w:pPr>
        <w:numPr>
          <w:ilvl w:val="1"/>
          <w:numId w:val="1014"/>
        </w:numPr>
        <w:pStyle w:val="Compact"/>
      </w:pPr>
      <w:r>
        <w:t xml:space="preserve">Partecipazione a eventi di settore</w:t>
      </w:r>
    </w:p>
    <w:p>
      <w:pPr>
        <w:numPr>
          <w:ilvl w:val="1"/>
          <w:numId w:val="1014"/>
        </w:numPr>
        <w:pStyle w:val="Compact"/>
      </w:pPr>
      <w:r>
        <w:t xml:space="preserve">Contatto con l’iniziativa IAM-I</w:t>
      </w:r>
    </w:p>
    <w:p>
      <w:pPr>
        <w:numPr>
          <w:ilvl w:val="1"/>
          <w:numId w:val="1014"/>
        </w:numPr>
        <w:pStyle w:val="Compact"/>
      </w:pPr>
      <w:r>
        <w:t xml:space="preserve">Avvio di collaborazioni con università e centri di ricerca</w:t>
      </w:r>
    </w:p>
    <w:p>
      <w:pPr>
        <w:pStyle w:val="Heading4"/>
      </w:pPr>
      <w:bookmarkStart w:id="29" w:name="Xd10843b86bffa88f04a1956fbd6426c6d848321"/>
      <w:r>
        <w:t xml:space="preserve">Mesi 10-12: Finanziamento e Preparazione al Lancio</w:t>
      </w:r>
      <w:bookmarkEnd w:id="29"/>
    </w:p>
    <w:p>
      <w:pPr>
        <w:numPr>
          <w:ilvl w:val="0"/>
          <w:numId w:val="1015"/>
        </w:numPr>
        <w:pStyle w:val="Compact"/>
      </w:pPr>
      <w:r>
        <w:rPr>
          <w:b/>
        </w:rPr>
        <w:t xml:space="preserve">Preparazione del pitch per investitori</w:t>
      </w:r>
      <w:r>
        <w:t xml:space="preserve"> </w:t>
      </w:r>
      <w:r>
        <w:t xml:space="preserve">(Mese 10)</w:t>
      </w:r>
    </w:p>
    <w:p>
      <w:pPr>
        <w:numPr>
          <w:ilvl w:val="1"/>
          <w:numId w:val="1016"/>
        </w:numPr>
        <w:pStyle w:val="Compact"/>
      </w:pPr>
      <w:r>
        <w:t xml:space="preserve">Finalizzazione del business plan</w:t>
      </w:r>
    </w:p>
    <w:p>
      <w:pPr>
        <w:numPr>
          <w:ilvl w:val="1"/>
          <w:numId w:val="1016"/>
        </w:numPr>
        <w:pStyle w:val="Compact"/>
      </w:pPr>
      <w:r>
        <w:t xml:space="preserve">Sviluppo del pitch deck</w:t>
      </w:r>
    </w:p>
    <w:p>
      <w:pPr>
        <w:numPr>
          <w:ilvl w:val="1"/>
          <w:numId w:val="1016"/>
        </w:numPr>
        <w:pStyle w:val="Compact"/>
      </w:pPr>
      <w:r>
        <w:t xml:space="preserve">Preparazione della documentazione finanziaria</w:t>
      </w:r>
    </w:p>
    <w:p>
      <w:pPr>
        <w:numPr>
          <w:ilvl w:val="0"/>
          <w:numId w:val="1015"/>
        </w:numPr>
        <w:pStyle w:val="Compact"/>
      </w:pPr>
      <w:r>
        <w:rPr>
          <w:b/>
        </w:rPr>
        <w:t xml:space="preserve">Campagna di raccolta fondi</w:t>
      </w:r>
      <w:r>
        <w:t xml:space="preserve"> </w:t>
      </w:r>
      <w:r>
        <w:t xml:space="preserve">(Mese 11)</w:t>
      </w:r>
    </w:p>
    <w:p>
      <w:pPr>
        <w:numPr>
          <w:ilvl w:val="1"/>
          <w:numId w:val="1017"/>
        </w:numPr>
        <w:pStyle w:val="Compact"/>
      </w:pPr>
      <w:r>
        <w:t xml:space="preserve">Presentazioni a investitori angel e seed</w:t>
      </w:r>
    </w:p>
    <w:p>
      <w:pPr>
        <w:numPr>
          <w:ilvl w:val="1"/>
          <w:numId w:val="1017"/>
        </w:numPr>
        <w:pStyle w:val="Compact"/>
      </w:pPr>
      <w:r>
        <w:t xml:space="preserve">Applicazione a programmi di finanziamento pubblico</w:t>
      </w:r>
    </w:p>
    <w:p>
      <w:pPr>
        <w:numPr>
          <w:ilvl w:val="1"/>
          <w:numId w:val="1017"/>
        </w:numPr>
        <w:pStyle w:val="Compact"/>
      </w:pPr>
      <w:r>
        <w:t xml:space="preserve">Negoziazione dei termini di investimento</w:t>
      </w:r>
    </w:p>
    <w:p>
      <w:pPr>
        <w:numPr>
          <w:ilvl w:val="0"/>
          <w:numId w:val="1015"/>
        </w:numPr>
        <w:pStyle w:val="Compact"/>
      </w:pPr>
      <w:r>
        <w:rPr>
          <w:b/>
        </w:rPr>
        <w:t xml:space="preserve">Pianificazione della fase successiva</w:t>
      </w:r>
      <w:r>
        <w:t xml:space="preserve"> </w:t>
      </w:r>
      <w:r>
        <w:t xml:space="preserve">(Mese 12)</w:t>
      </w:r>
    </w:p>
    <w:p>
      <w:pPr>
        <w:numPr>
          <w:ilvl w:val="1"/>
          <w:numId w:val="1018"/>
        </w:numPr>
        <w:pStyle w:val="Compact"/>
      </w:pPr>
      <w:r>
        <w:t xml:space="preserve">Definizione degli obiettivi per la fase di sviluppo</w:t>
      </w:r>
    </w:p>
    <w:p>
      <w:pPr>
        <w:numPr>
          <w:ilvl w:val="1"/>
          <w:numId w:val="1018"/>
        </w:numPr>
        <w:pStyle w:val="Compact"/>
      </w:pPr>
      <w:r>
        <w:t xml:space="preserve">Pianificazione dell’espansione del team</w:t>
      </w:r>
    </w:p>
    <w:p>
      <w:pPr>
        <w:numPr>
          <w:ilvl w:val="1"/>
          <w:numId w:val="1018"/>
        </w:numPr>
        <w:pStyle w:val="Compact"/>
      </w:pPr>
      <w:r>
        <w:t xml:space="preserve">Definizione della strategia di go-to-market</w:t>
      </w:r>
    </w:p>
    <w:p>
      <w:pPr>
        <w:pStyle w:val="Heading3"/>
      </w:pPr>
      <w:bookmarkStart w:id="30" w:name="milestone-e-deliverable"/>
      <w:r>
        <w:t xml:space="preserve">Milestone e Deliverable</w:t>
      </w:r>
      <w:bookmarkEnd w:id="30"/>
    </w:p>
    <w:p>
      <w:pPr>
        <w:numPr>
          <w:ilvl w:val="0"/>
          <w:numId w:val="1019"/>
        </w:numPr>
        <w:pStyle w:val="Compact"/>
      </w:pPr>
      <w:r>
        <w:rPr>
          <w:b/>
        </w:rPr>
        <w:t xml:space="preserve">M1.1</w:t>
      </w:r>
      <w:r>
        <w:t xml:space="preserve">: Società legalmente costituita (Mese 1)</w:t>
      </w:r>
    </w:p>
    <w:p>
      <w:pPr>
        <w:numPr>
          <w:ilvl w:val="0"/>
          <w:numId w:val="1019"/>
        </w:numPr>
        <w:pStyle w:val="Compact"/>
      </w:pPr>
      <w:r>
        <w:rPr>
          <w:b/>
        </w:rPr>
        <w:t xml:space="preserve">M1.2</w:t>
      </w:r>
      <w:r>
        <w:t xml:space="preserve">: Team fondatore completo (Mese 2)</w:t>
      </w:r>
    </w:p>
    <w:p>
      <w:pPr>
        <w:numPr>
          <w:ilvl w:val="0"/>
          <w:numId w:val="1019"/>
        </w:numPr>
        <w:pStyle w:val="Compact"/>
      </w:pPr>
      <w:r>
        <w:rPr>
          <w:b/>
        </w:rPr>
        <w:t xml:space="preserve">M1.3</w:t>
      </w:r>
      <w:r>
        <w:t xml:space="preserve">: Laboratorio di R&amp;S operativo (Mese 4)</w:t>
      </w:r>
    </w:p>
    <w:p>
      <w:pPr>
        <w:numPr>
          <w:ilvl w:val="0"/>
          <w:numId w:val="1019"/>
        </w:numPr>
        <w:pStyle w:val="Compact"/>
      </w:pPr>
      <w:r>
        <w:rPr>
          <w:b/>
        </w:rPr>
        <w:t xml:space="preserve">M1.4</w:t>
      </w:r>
      <w:r>
        <w:t xml:space="preserve">: Primi prototipi funzionanti (Mese 6)</w:t>
      </w:r>
    </w:p>
    <w:p>
      <w:pPr>
        <w:numPr>
          <w:ilvl w:val="0"/>
          <w:numId w:val="1019"/>
        </w:numPr>
        <w:pStyle w:val="Compact"/>
      </w:pPr>
      <w:r>
        <w:rPr>
          <w:b/>
        </w:rPr>
        <w:t xml:space="preserve">M1.5</w:t>
      </w:r>
      <w:r>
        <w:t xml:space="preserve">: Validazione tecnica completata (Mese 7)</w:t>
      </w:r>
    </w:p>
    <w:p>
      <w:pPr>
        <w:numPr>
          <w:ilvl w:val="0"/>
          <w:numId w:val="1019"/>
        </w:numPr>
        <w:pStyle w:val="Compact"/>
      </w:pPr>
      <w:r>
        <w:rPr>
          <w:b/>
        </w:rPr>
        <w:t xml:space="preserve">M1.6</w:t>
      </w:r>
      <w:r>
        <w:t xml:space="preserve">: Almeno 3 clienti pilota identificati (Mese 9)</w:t>
      </w:r>
    </w:p>
    <w:p>
      <w:pPr>
        <w:numPr>
          <w:ilvl w:val="0"/>
          <w:numId w:val="1019"/>
        </w:numPr>
        <w:pStyle w:val="Compact"/>
      </w:pPr>
      <w:r>
        <w:rPr>
          <w:b/>
        </w:rPr>
        <w:t xml:space="preserve">M1.7</w:t>
      </w:r>
      <w:r>
        <w:t xml:space="preserve">: Finanziamento iniziale ottenuto (Mese 12)</w:t>
      </w:r>
    </w:p>
    <w:p>
      <w:pPr>
        <w:pStyle w:val="Heading3"/>
      </w:pPr>
      <w:bookmarkStart w:id="31" w:name="kpi-e-metriche-di-successo"/>
      <w:r>
        <w:t xml:space="preserve">KPI e Metriche di Successo</w:t>
      </w:r>
      <w:bookmarkEnd w:id="31"/>
    </w:p>
    <w:p>
      <w:pPr>
        <w:numPr>
          <w:ilvl w:val="0"/>
          <w:numId w:val="1020"/>
        </w:numPr>
        <w:pStyle w:val="Compact"/>
      </w:pPr>
      <w:r>
        <w:t xml:space="preserve">Numero di prototipi sviluppati: ≥ 3</w:t>
      </w:r>
    </w:p>
    <w:p>
      <w:pPr>
        <w:numPr>
          <w:ilvl w:val="0"/>
          <w:numId w:val="1020"/>
        </w:numPr>
        <w:pStyle w:val="Compact"/>
      </w:pPr>
      <w:r>
        <w:t xml:space="preserve">Numero di potenziali clienti contattati: ≥ 20</w:t>
      </w:r>
    </w:p>
    <w:p>
      <w:pPr>
        <w:numPr>
          <w:ilvl w:val="0"/>
          <w:numId w:val="1020"/>
        </w:numPr>
        <w:pStyle w:val="Compact"/>
      </w:pPr>
      <w:r>
        <w:t xml:space="preserve">Numero di clienti pilota identificati: ≥ 3</w:t>
      </w:r>
    </w:p>
    <w:p>
      <w:pPr>
        <w:numPr>
          <w:ilvl w:val="0"/>
          <w:numId w:val="1020"/>
        </w:numPr>
        <w:pStyle w:val="Compact"/>
      </w:pPr>
      <w:r>
        <w:t xml:space="preserve">Capitale raccolto: ≥ 500.000 €</w:t>
      </w:r>
    </w:p>
    <w:p>
      <w:pPr>
        <w:numPr>
          <w:ilvl w:val="0"/>
          <w:numId w:val="1020"/>
        </w:numPr>
        <w:pStyle w:val="Compact"/>
      </w:pPr>
      <w:r>
        <w:t xml:space="preserve">Numero di partnership avviate: ≥ 2</w:t>
      </w:r>
    </w:p>
    <w:p>
      <w:pPr>
        <w:pStyle w:val="Heading2"/>
      </w:pPr>
      <w:bookmarkStart w:id="32" w:name="fase-2-sviluppo-12-24-mesi"/>
      <w:r>
        <w:t xml:space="preserve">Fase 2: Sviluppo (12-24 mesi)</w:t>
      </w:r>
      <w:bookmarkEnd w:id="32"/>
    </w:p>
    <w:p>
      <w:pPr>
        <w:pStyle w:val="Heading3"/>
      </w:pPr>
      <w:bookmarkStart w:id="33" w:name="obiettivi-principali-1"/>
      <w:r>
        <w:t xml:space="preserve">Obiettivi Principali</w:t>
      </w:r>
      <w:bookmarkEnd w:id="33"/>
    </w:p>
    <w:p>
      <w:pPr>
        <w:numPr>
          <w:ilvl w:val="0"/>
          <w:numId w:val="1021"/>
        </w:numPr>
        <w:pStyle w:val="Compact"/>
      </w:pPr>
      <w:r>
        <w:t xml:space="preserve">Completare lo sviluppo dei primi prodotti commerciali</w:t>
      </w:r>
    </w:p>
    <w:p>
      <w:pPr>
        <w:numPr>
          <w:ilvl w:val="0"/>
          <w:numId w:val="1021"/>
        </w:numPr>
        <w:pStyle w:val="Compact"/>
      </w:pPr>
      <w:r>
        <w:t xml:space="preserve">Implementare l’impianto pilota per la produzione</w:t>
      </w:r>
    </w:p>
    <w:p>
      <w:pPr>
        <w:numPr>
          <w:ilvl w:val="0"/>
          <w:numId w:val="1021"/>
        </w:numPr>
        <w:pStyle w:val="Compact"/>
      </w:pPr>
      <w:r>
        <w:t xml:space="preserve">Avviare progetti dimostrativi con clienti selezionati</w:t>
      </w:r>
    </w:p>
    <w:p>
      <w:pPr>
        <w:numPr>
          <w:ilvl w:val="0"/>
          <w:numId w:val="1021"/>
        </w:numPr>
        <w:pStyle w:val="Compact"/>
      </w:pPr>
      <w:r>
        <w:t xml:space="preserve">Espandere il team R&amp;S e commerciale</w:t>
      </w:r>
    </w:p>
    <w:p>
      <w:pPr>
        <w:numPr>
          <w:ilvl w:val="0"/>
          <w:numId w:val="1021"/>
        </w:numPr>
        <w:pStyle w:val="Compact"/>
      </w:pPr>
      <w:r>
        <w:t xml:space="preserve">Depositare le prime domande di brevetto</w:t>
      </w:r>
    </w:p>
    <w:p>
      <w:pPr>
        <w:pStyle w:val="Heading3"/>
      </w:pPr>
      <w:bookmarkStart w:id="34" w:name="attività-chiave-e-timeline-1"/>
      <w:r>
        <w:t xml:space="preserve">Attività Chiave e Timeline</w:t>
      </w:r>
      <w:bookmarkEnd w:id="34"/>
    </w:p>
    <w:p>
      <w:pPr>
        <w:pStyle w:val="Heading4"/>
      </w:pPr>
      <w:bookmarkStart w:id="35" w:name="mesi-13-15-sviluppo-prodotti-e-scaling"/>
      <w:r>
        <w:t xml:space="preserve">Mesi 13-15: Sviluppo Prodotti e Scaling</w:t>
      </w:r>
      <w:bookmarkEnd w:id="35"/>
    </w:p>
    <w:p>
      <w:pPr>
        <w:numPr>
          <w:ilvl w:val="0"/>
          <w:numId w:val="1022"/>
        </w:numPr>
        <w:pStyle w:val="Compact"/>
      </w:pPr>
      <w:r>
        <w:rPr>
          <w:b/>
        </w:rPr>
        <w:t xml:space="preserve">Finalizzazione delle specifiche di prodotto</w:t>
      </w:r>
      <w:r>
        <w:t xml:space="preserve"> </w:t>
      </w:r>
      <w:r>
        <w:t xml:space="preserve">(Mese 13)</w:t>
      </w:r>
    </w:p>
    <w:p>
      <w:pPr>
        <w:numPr>
          <w:ilvl w:val="1"/>
          <w:numId w:val="1023"/>
        </w:numPr>
        <w:pStyle w:val="Compact"/>
      </w:pPr>
      <w:r>
        <w:t xml:space="preserve">Definizione delle specifiche tecniche finali</w:t>
      </w:r>
    </w:p>
    <w:p>
      <w:pPr>
        <w:numPr>
          <w:ilvl w:val="1"/>
          <w:numId w:val="1023"/>
        </w:numPr>
        <w:pStyle w:val="Compact"/>
      </w:pPr>
      <w:r>
        <w:t xml:space="preserve">Sviluppo della documentazione di prodotto</w:t>
      </w:r>
    </w:p>
    <w:p>
      <w:pPr>
        <w:numPr>
          <w:ilvl w:val="1"/>
          <w:numId w:val="1023"/>
        </w:numPr>
        <w:pStyle w:val="Compact"/>
      </w:pPr>
      <w:r>
        <w:t xml:space="preserve">Definizione dei processi di controllo qualità</w:t>
      </w:r>
    </w:p>
    <w:p>
      <w:pPr>
        <w:numPr>
          <w:ilvl w:val="0"/>
          <w:numId w:val="1022"/>
        </w:numPr>
        <w:pStyle w:val="Compact"/>
      </w:pPr>
      <w:r>
        <w:rPr>
          <w:b/>
        </w:rPr>
        <w:t xml:space="preserve">Scaling dei processi produttivi</w:t>
      </w:r>
      <w:r>
        <w:t xml:space="preserve"> </w:t>
      </w:r>
      <w:r>
        <w:t xml:space="preserve">(Mese 14)</w:t>
      </w:r>
    </w:p>
    <w:p>
      <w:pPr>
        <w:numPr>
          <w:ilvl w:val="1"/>
          <w:numId w:val="1024"/>
        </w:numPr>
        <w:pStyle w:val="Compact"/>
      </w:pPr>
      <w:r>
        <w:t xml:space="preserve">Ottimizzazione dei processi per la produzione su scala pilota</w:t>
      </w:r>
    </w:p>
    <w:p>
      <w:pPr>
        <w:numPr>
          <w:ilvl w:val="1"/>
          <w:numId w:val="1024"/>
        </w:numPr>
        <w:pStyle w:val="Compact"/>
      </w:pPr>
      <w:r>
        <w:t xml:space="preserve">Definizione dei parametri di processo</w:t>
      </w:r>
    </w:p>
    <w:p>
      <w:pPr>
        <w:numPr>
          <w:ilvl w:val="1"/>
          <w:numId w:val="1024"/>
        </w:numPr>
        <w:pStyle w:val="Compact"/>
      </w:pPr>
      <w:r>
        <w:t xml:space="preserve">Valutazione dei fornitori di materie prime</w:t>
      </w:r>
    </w:p>
    <w:p>
      <w:pPr>
        <w:numPr>
          <w:ilvl w:val="0"/>
          <w:numId w:val="1022"/>
        </w:numPr>
        <w:pStyle w:val="Compact"/>
      </w:pPr>
      <w:r>
        <w:rPr>
          <w:b/>
        </w:rPr>
        <w:t xml:space="preserve">Progettazione dell’impianto pilota</w:t>
      </w:r>
      <w:r>
        <w:t xml:space="preserve"> </w:t>
      </w:r>
      <w:r>
        <w:t xml:space="preserve">(Mese 15)</w:t>
      </w:r>
    </w:p>
    <w:p>
      <w:pPr>
        <w:numPr>
          <w:ilvl w:val="1"/>
          <w:numId w:val="1025"/>
        </w:numPr>
        <w:pStyle w:val="Compact"/>
      </w:pPr>
      <w:r>
        <w:t xml:space="preserve">Definizione dei requisiti tecnici</w:t>
      </w:r>
    </w:p>
    <w:p>
      <w:pPr>
        <w:numPr>
          <w:ilvl w:val="1"/>
          <w:numId w:val="1025"/>
        </w:numPr>
        <w:pStyle w:val="Compact"/>
      </w:pPr>
      <w:r>
        <w:t xml:space="preserve">Selezione delle tecnologie e delle attrezzature</w:t>
      </w:r>
    </w:p>
    <w:p>
      <w:pPr>
        <w:numPr>
          <w:ilvl w:val="1"/>
          <w:numId w:val="1025"/>
        </w:numPr>
        <w:pStyle w:val="Compact"/>
      </w:pPr>
      <w:r>
        <w:t xml:space="preserve">Pianificazione dell’implementazione</w:t>
      </w:r>
    </w:p>
    <w:p>
      <w:pPr>
        <w:pStyle w:val="Heading4"/>
      </w:pPr>
      <w:bookmarkStart w:id="36" w:name="X88a056e304c06fd4bc3a941ae711f4817f66350"/>
      <w:r>
        <w:t xml:space="preserve">Mesi 16-18: Implementazione e Protezione IP</w:t>
      </w:r>
      <w:bookmarkEnd w:id="36"/>
    </w:p>
    <w:p>
      <w:pPr>
        <w:numPr>
          <w:ilvl w:val="0"/>
          <w:numId w:val="1026"/>
        </w:numPr>
        <w:pStyle w:val="Compact"/>
      </w:pPr>
      <w:r>
        <w:rPr>
          <w:b/>
        </w:rPr>
        <w:t xml:space="preserve">Implementazione dell’impianto pilota</w:t>
      </w:r>
      <w:r>
        <w:t xml:space="preserve"> </w:t>
      </w:r>
      <w:r>
        <w:t xml:space="preserve">(Mese 16)</w:t>
      </w:r>
    </w:p>
    <w:p>
      <w:pPr>
        <w:numPr>
          <w:ilvl w:val="1"/>
          <w:numId w:val="1027"/>
        </w:numPr>
        <w:pStyle w:val="Compact"/>
      </w:pPr>
      <w:r>
        <w:t xml:space="preserve">Acquisto e installazione delle attrezzature</w:t>
      </w:r>
    </w:p>
    <w:p>
      <w:pPr>
        <w:numPr>
          <w:ilvl w:val="1"/>
          <w:numId w:val="1027"/>
        </w:numPr>
        <w:pStyle w:val="Compact"/>
      </w:pPr>
      <w:r>
        <w:t xml:space="preserve">Configurazione dei sistemi di controllo</w:t>
      </w:r>
    </w:p>
    <w:p>
      <w:pPr>
        <w:numPr>
          <w:ilvl w:val="1"/>
          <w:numId w:val="1027"/>
        </w:numPr>
        <w:pStyle w:val="Compact"/>
      </w:pPr>
      <w:r>
        <w:t xml:space="preserve">Formazione del personale tecnico</w:t>
      </w:r>
    </w:p>
    <w:p>
      <w:pPr>
        <w:numPr>
          <w:ilvl w:val="0"/>
          <w:numId w:val="1026"/>
        </w:numPr>
        <w:pStyle w:val="Compact"/>
      </w:pPr>
      <w:r>
        <w:rPr>
          <w:b/>
        </w:rPr>
        <w:t xml:space="preserve">Avvio della produzione pilota</w:t>
      </w:r>
      <w:r>
        <w:t xml:space="preserve"> </w:t>
      </w:r>
      <w:r>
        <w:t xml:space="preserve">(Mese 17)</w:t>
      </w:r>
    </w:p>
    <w:p>
      <w:pPr>
        <w:numPr>
          <w:ilvl w:val="1"/>
          <w:numId w:val="1028"/>
        </w:numPr>
        <w:pStyle w:val="Compact"/>
      </w:pPr>
      <w:r>
        <w:t xml:space="preserve">Produzione dei primi lotti di prova</w:t>
      </w:r>
    </w:p>
    <w:p>
      <w:pPr>
        <w:numPr>
          <w:ilvl w:val="1"/>
          <w:numId w:val="1028"/>
        </w:numPr>
        <w:pStyle w:val="Compact"/>
      </w:pPr>
      <w:r>
        <w:t xml:space="preserve">Validazione della qualità e delle prestazioni</w:t>
      </w:r>
    </w:p>
    <w:p>
      <w:pPr>
        <w:numPr>
          <w:ilvl w:val="1"/>
          <w:numId w:val="1028"/>
        </w:numPr>
        <w:pStyle w:val="Compact"/>
      </w:pPr>
      <w:r>
        <w:t xml:space="preserve">Ottimizzazione dei parametri di processo</w:t>
      </w:r>
    </w:p>
    <w:p>
      <w:pPr>
        <w:numPr>
          <w:ilvl w:val="0"/>
          <w:numId w:val="1026"/>
        </w:numPr>
        <w:pStyle w:val="Compact"/>
      </w:pPr>
      <w:r>
        <w:rPr>
          <w:b/>
        </w:rPr>
        <w:t xml:space="preserve">Sviluppo e protezione della proprietà intellettuale</w:t>
      </w:r>
      <w:r>
        <w:t xml:space="preserve"> </w:t>
      </w:r>
      <w:r>
        <w:t xml:space="preserve">(Mese 18)</w:t>
      </w:r>
    </w:p>
    <w:p>
      <w:pPr>
        <w:numPr>
          <w:ilvl w:val="1"/>
          <w:numId w:val="1029"/>
        </w:numPr>
        <w:pStyle w:val="Compact"/>
      </w:pPr>
      <w:r>
        <w:t xml:space="preserve">Identificazione delle tecnologie brevettabili</w:t>
      </w:r>
    </w:p>
    <w:p>
      <w:pPr>
        <w:numPr>
          <w:ilvl w:val="1"/>
          <w:numId w:val="1029"/>
        </w:numPr>
        <w:pStyle w:val="Compact"/>
      </w:pPr>
      <w:r>
        <w:t xml:space="preserve">Preparazione e deposito delle prime domande di brevetto</w:t>
      </w:r>
    </w:p>
    <w:p>
      <w:pPr>
        <w:numPr>
          <w:ilvl w:val="1"/>
          <w:numId w:val="1029"/>
        </w:numPr>
        <w:pStyle w:val="Compact"/>
      </w:pPr>
      <w:r>
        <w:t xml:space="preserve">Sviluppo di una strategia IP a lungo termine</w:t>
      </w:r>
    </w:p>
    <w:p>
      <w:pPr>
        <w:pStyle w:val="Heading4"/>
      </w:pPr>
      <w:bookmarkStart w:id="37" w:name="Xdbf44bede168c8f338a8ead930aea4182e92ee5"/>
      <w:r>
        <w:t xml:space="preserve">Mesi 19-21: Progetti Dimostrativi e Marketing</w:t>
      </w:r>
      <w:bookmarkEnd w:id="37"/>
    </w:p>
    <w:p>
      <w:pPr>
        <w:numPr>
          <w:ilvl w:val="0"/>
          <w:numId w:val="1030"/>
        </w:numPr>
        <w:pStyle w:val="Compact"/>
      </w:pPr>
      <w:r>
        <w:rPr>
          <w:b/>
        </w:rPr>
        <w:t xml:space="preserve">Avvio di progetti dimostrativi</w:t>
      </w:r>
      <w:r>
        <w:t xml:space="preserve"> </w:t>
      </w:r>
      <w:r>
        <w:t xml:space="preserve">(Mese 19)</w:t>
      </w:r>
    </w:p>
    <w:p>
      <w:pPr>
        <w:numPr>
          <w:ilvl w:val="1"/>
          <w:numId w:val="1031"/>
        </w:numPr>
        <w:pStyle w:val="Compact"/>
      </w:pPr>
      <w:r>
        <w:t xml:space="preserve">Implementazione di progetti pilota con clienti selezionati</w:t>
      </w:r>
    </w:p>
    <w:p>
      <w:pPr>
        <w:numPr>
          <w:ilvl w:val="1"/>
          <w:numId w:val="1031"/>
        </w:numPr>
        <w:pStyle w:val="Compact"/>
      </w:pPr>
      <w:r>
        <w:t xml:space="preserve">Raccolta di dati sulle prestazioni</w:t>
      </w:r>
    </w:p>
    <w:p>
      <w:pPr>
        <w:numPr>
          <w:ilvl w:val="1"/>
          <w:numId w:val="1031"/>
        </w:numPr>
        <w:pStyle w:val="Compact"/>
      </w:pPr>
      <w:r>
        <w:t xml:space="preserve">Ottimizzazione dei prodotti in base al feedback</w:t>
      </w:r>
    </w:p>
    <w:p>
      <w:pPr>
        <w:numPr>
          <w:ilvl w:val="0"/>
          <w:numId w:val="1030"/>
        </w:numPr>
        <w:pStyle w:val="Compact"/>
      </w:pPr>
      <w:r>
        <w:rPr>
          <w:b/>
        </w:rPr>
        <w:t xml:space="preserve">Sviluppo della strategia di marketing</w:t>
      </w:r>
      <w:r>
        <w:t xml:space="preserve"> </w:t>
      </w:r>
      <w:r>
        <w:t xml:space="preserve">(Mese 20)</w:t>
      </w:r>
    </w:p>
    <w:p>
      <w:pPr>
        <w:numPr>
          <w:ilvl w:val="1"/>
          <w:numId w:val="1032"/>
        </w:numPr>
        <w:pStyle w:val="Compact"/>
      </w:pPr>
      <w:r>
        <w:t xml:space="preserve">Definizione del posizionamento di mercato</w:t>
      </w:r>
    </w:p>
    <w:p>
      <w:pPr>
        <w:numPr>
          <w:ilvl w:val="1"/>
          <w:numId w:val="1032"/>
        </w:numPr>
        <w:pStyle w:val="Compact"/>
      </w:pPr>
      <w:r>
        <w:t xml:space="preserve">Sviluppo dei materiali di marketing</w:t>
      </w:r>
    </w:p>
    <w:p>
      <w:pPr>
        <w:numPr>
          <w:ilvl w:val="1"/>
          <w:numId w:val="1032"/>
        </w:numPr>
        <w:pStyle w:val="Compact"/>
      </w:pPr>
      <w:r>
        <w:t xml:space="preserve">Pianificazione delle attività di comunicazione</w:t>
      </w:r>
    </w:p>
    <w:p>
      <w:pPr>
        <w:numPr>
          <w:ilvl w:val="0"/>
          <w:numId w:val="1030"/>
        </w:numPr>
        <w:pStyle w:val="Compact"/>
      </w:pPr>
      <w:r>
        <w:rPr>
          <w:b/>
        </w:rPr>
        <w:t xml:space="preserve">Espansione del team commerciale</w:t>
      </w:r>
      <w:r>
        <w:t xml:space="preserve"> </w:t>
      </w:r>
      <w:r>
        <w:t xml:space="preserve">(Mese 21)</w:t>
      </w:r>
    </w:p>
    <w:p>
      <w:pPr>
        <w:numPr>
          <w:ilvl w:val="1"/>
          <w:numId w:val="1033"/>
        </w:numPr>
        <w:pStyle w:val="Compact"/>
      </w:pPr>
      <w:r>
        <w:t xml:space="preserve">Reclutamento di personale commerciale</w:t>
      </w:r>
    </w:p>
    <w:p>
      <w:pPr>
        <w:numPr>
          <w:ilvl w:val="1"/>
          <w:numId w:val="1033"/>
        </w:numPr>
        <w:pStyle w:val="Compact"/>
      </w:pPr>
      <w:r>
        <w:t xml:space="preserve">Sviluppo di programmi di formazione</w:t>
      </w:r>
    </w:p>
    <w:p>
      <w:pPr>
        <w:numPr>
          <w:ilvl w:val="1"/>
          <w:numId w:val="1033"/>
        </w:numPr>
        <w:pStyle w:val="Compact"/>
      </w:pPr>
      <w:r>
        <w:t xml:space="preserve">Definizione degli obiettivi commerciali</w:t>
      </w:r>
    </w:p>
    <w:p>
      <w:pPr>
        <w:pStyle w:val="Heading4"/>
      </w:pPr>
      <w:bookmarkStart w:id="38" w:name="X831413f3e85f4844e40e7a35bf35bd0c9462e77"/>
      <w:r>
        <w:t xml:space="preserve">Mesi 22-24: Preparazione al Lancio Commerciale</w:t>
      </w:r>
      <w:bookmarkEnd w:id="38"/>
    </w:p>
    <w:p>
      <w:pPr>
        <w:numPr>
          <w:ilvl w:val="0"/>
          <w:numId w:val="1034"/>
        </w:numPr>
        <w:pStyle w:val="Compact"/>
      </w:pPr>
      <w:r>
        <w:rPr>
          <w:b/>
        </w:rPr>
        <w:t xml:space="preserve">Finalizzazione dell’offerta commerciale</w:t>
      </w:r>
      <w:r>
        <w:t xml:space="preserve"> </w:t>
      </w:r>
      <w:r>
        <w:t xml:space="preserve">(Mese 22)</w:t>
      </w:r>
    </w:p>
    <w:p>
      <w:pPr>
        <w:numPr>
          <w:ilvl w:val="1"/>
          <w:numId w:val="1035"/>
        </w:numPr>
        <w:pStyle w:val="Compact"/>
      </w:pPr>
      <w:r>
        <w:t xml:space="preserve">Definizione del listino prezzi</w:t>
      </w:r>
    </w:p>
    <w:p>
      <w:pPr>
        <w:numPr>
          <w:ilvl w:val="1"/>
          <w:numId w:val="1035"/>
        </w:numPr>
        <w:pStyle w:val="Compact"/>
      </w:pPr>
      <w:r>
        <w:t xml:space="preserve">Sviluppo delle condizioni commerciali</w:t>
      </w:r>
    </w:p>
    <w:p>
      <w:pPr>
        <w:numPr>
          <w:ilvl w:val="1"/>
          <w:numId w:val="1035"/>
        </w:numPr>
        <w:pStyle w:val="Compact"/>
      </w:pPr>
      <w:r>
        <w:t xml:space="preserve">Preparazione dei contratti standard</w:t>
      </w:r>
    </w:p>
    <w:p>
      <w:pPr>
        <w:numPr>
          <w:ilvl w:val="0"/>
          <w:numId w:val="1034"/>
        </w:numPr>
        <w:pStyle w:val="Compact"/>
      </w:pPr>
      <w:r>
        <w:rPr>
          <w:b/>
        </w:rPr>
        <w:t xml:space="preserve">Sviluppo della strategia di lancio</w:t>
      </w:r>
      <w:r>
        <w:t xml:space="preserve"> </w:t>
      </w:r>
      <w:r>
        <w:t xml:space="preserve">(Mese 23)</w:t>
      </w:r>
    </w:p>
    <w:p>
      <w:pPr>
        <w:numPr>
          <w:ilvl w:val="1"/>
          <w:numId w:val="1036"/>
        </w:numPr>
        <w:pStyle w:val="Compact"/>
      </w:pPr>
      <w:r>
        <w:t xml:space="preserve">Pianificazione delle attività di lancio</w:t>
      </w:r>
    </w:p>
    <w:p>
      <w:pPr>
        <w:numPr>
          <w:ilvl w:val="1"/>
          <w:numId w:val="1036"/>
        </w:numPr>
        <w:pStyle w:val="Compact"/>
      </w:pPr>
      <w:r>
        <w:t xml:space="preserve">Identificazione degli eventi chiave</w:t>
      </w:r>
    </w:p>
    <w:p>
      <w:pPr>
        <w:numPr>
          <w:ilvl w:val="1"/>
          <w:numId w:val="1036"/>
        </w:numPr>
        <w:pStyle w:val="Compact"/>
      </w:pPr>
      <w:r>
        <w:t xml:space="preserve">Preparazione dei materiali di comunicazione</w:t>
      </w:r>
    </w:p>
    <w:p>
      <w:pPr>
        <w:numPr>
          <w:ilvl w:val="0"/>
          <w:numId w:val="1034"/>
        </w:numPr>
        <w:pStyle w:val="Compact"/>
      </w:pPr>
      <w:r>
        <w:rPr>
          <w:b/>
        </w:rPr>
        <w:t xml:space="preserve">Pianificazione della fase di crescita</w:t>
      </w:r>
      <w:r>
        <w:t xml:space="preserve"> </w:t>
      </w:r>
      <w:r>
        <w:t xml:space="preserve">(Mese 24)</w:t>
      </w:r>
    </w:p>
    <w:p>
      <w:pPr>
        <w:numPr>
          <w:ilvl w:val="1"/>
          <w:numId w:val="1037"/>
        </w:numPr>
        <w:pStyle w:val="Compact"/>
      </w:pPr>
      <w:r>
        <w:t xml:space="preserve">Definizione degli obiettivi per la fase successiva</w:t>
      </w:r>
    </w:p>
    <w:p>
      <w:pPr>
        <w:numPr>
          <w:ilvl w:val="1"/>
          <w:numId w:val="1037"/>
        </w:numPr>
        <w:pStyle w:val="Compact"/>
      </w:pPr>
      <w:r>
        <w:t xml:space="preserve">Pianificazione dell’espansione della capacità produttiva</w:t>
      </w:r>
    </w:p>
    <w:p>
      <w:pPr>
        <w:numPr>
          <w:ilvl w:val="1"/>
          <w:numId w:val="1037"/>
        </w:numPr>
        <w:pStyle w:val="Compact"/>
      </w:pPr>
      <w:r>
        <w:t xml:space="preserve">Sviluppo della strategia commerciale a medio termine</w:t>
      </w:r>
    </w:p>
    <w:p>
      <w:pPr>
        <w:pStyle w:val="Heading3"/>
      </w:pPr>
      <w:bookmarkStart w:id="39" w:name="milestone-e-deliverable-1"/>
      <w:r>
        <w:t xml:space="preserve">Milestone e Deliverable</w:t>
      </w:r>
      <w:bookmarkEnd w:id="39"/>
    </w:p>
    <w:p>
      <w:pPr>
        <w:numPr>
          <w:ilvl w:val="0"/>
          <w:numId w:val="1038"/>
        </w:numPr>
        <w:pStyle w:val="Compact"/>
      </w:pPr>
      <w:r>
        <w:rPr>
          <w:b/>
        </w:rPr>
        <w:t xml:space="preserve">M2.1</w:t>
      </w:r>
      <w:r>
        <w:t xml:space="preserve">: Specifiche di prodotto finalizzate (Mese 13)</w:t>
      </w:r>
    </w:p>
    <w:p>
      <w:pPr>
        <w:numPr>
          <w:ilvl w:val="0"/>
          <w:numId w:val="1038"/>
        </w:numPr>
        <w:pStyle w:val="Compact"/>
      </w:pPr>
      <w:r>
        <w:rPr>
          <w:b/>
        </w:rPr>
        <w:t xml:space="preserve">M2.2</w:t>
      </w:r>
      <w:r>
        <w:t xml:space="preserve">: Impianto pilota operativo (Mese 17)</w:t>
      </w:r>
    </w:p>
    <w:p>
      <w:pPr>
        <w:numPr>
          <w:ilvl w:val="0"/>
          <w:numId w:val="1038"/>
        </w:numPr>
        <w:pStyle w:val="Compact"/>
      </w:pPr>
      <w:r>
        <w:rPr>
          <w:b/>
        </w:rPr>
        <w:t xml:space="preserve">M2.3</w:t>
      </w:r>
      <w:r>
        <w:t xml:space="preserve">: Prime domande di brevetto depositate (Mese 18)</w:t>
      </w:r>
    </w:p>
    <w:p>
      <w:pPr>
        <w:numPr>
          <w:ilvl w:val="0"/>
          <w:numId w:val="1038"/>
        </w:numPr>
        <w:pStyle w:val="Compact"/>
      </w:pPr>
      <w:r>
        <w:rPr>
          <w:b/>
        </w:rPr>
        <w:t xml:space="preserve">M2.4</w:t>
      </w:r>
      <w:r>
        <w:t xml:space="preserve">: Almeno 3 progetti dimostrativi avviati (Mese 20)</w:t>
      </w:r>
    </w:p>
    <w:p>
      <w:pPr>
        <w:numPr>
          <w:ilvl w:val="0"/>
          <w:numId w:val="1038"/>
        </w:numPr>
        <w:pStyle w:val="Compact"/>
      </w:pPr>
      <w:r>
        <w:rPr>
          <w:b/>
        </w:rPr>
        <w:t xml:space="preserve">M2.5</w:t>
      </w:r>
      <w:r>
        <w:t xml:space="preserve">: Team commerciale costituito (Mese 21)</w:t>
      </w:r>
    </w:p>
    <w:p>
      <w:pPr>
        <w:numPr>
          <w:ilvl w:val="0"/>
          <w:numId w:val="1038"/>
        </w:numPr>
        <w:pStyle w:val="Compact"/>
      </w:pPr>
      <w:r>
        <w:rPr>
          <w:b/>
        </w:rPr>
        <w:t xml:space="preserve">M2.6</w:t>
      </w:r>
      <w:r>
        <w:t xml:space="preserve">: Offerta commerciale completa (Mese 22)</w:t>
      </w:r>
    </w:p>
    <w:p>
      <w:pPr>
        <w:numPr>
          <w:ilvl w:val="0"/>
          <w:numId w:val="1038"/>
        </w:numPr>
        <w:pStyle w:val="Compact"/>
      </w:pPr>
      <w:r>
        <w:rPr>
          <w:b/>
        </w:rPr>
        <w:t xml:space="preserve">M2.7</w:t>
      </w:r>
      <w:r>
        <w:t xml:space="preserve">: Piano di lancio commerciale definito (Mese 24)</w:t>
      </w:r>
    </w:p>
    <w:p>
      <w:pPr>
        <w:pStyle w:val="Heading3"/>
      </w:pPr>
      <w:bookmarkStart w:id="40" w:name="kpi-e-metriche-di-successo-1"/>
      <w:r>
        <w:t xml:space="preserve">KPI e Metriche di Successo</w:t>
      </w:r>
      <w:bookmarkEnd w:id="40"/>
    </w:p>
    <w:p>
      <w:pPr>
        <w:numPr>
          <w:ilvl w:val="0"/>
          <w:numId w:val="1039"/>
        </w:numPr>
        <w:pStyle w:val="Compact"/>
      </w:pPr>
      <w:r>
        <w:t xml:space="preserve">Capacità produttiva dell’impianto pilota: ≥ 100 kg/mese</w:t>
      </w:r>
    </w:p>
    <w:p>
      <w:pPr>
        <w:numPr>
          <w:ilvl w:val="0"/>
          <w:numId w:val="1039"/>
        </w:numPr>
        <w:pStyle w:val="Compact"/>
      </w:pPr>
      <w:r>
        <w:t xml:space="preserve">Numero di progetti dimostrativi avviati: ≥ 3</w:t>
      </w:r>
    </w:p>
    <w:p>
      <w:pPr>
        <w:numPr>
          <w:ilvl w:val="0"/>
          <w:numId w:val="1039"/>
        </w:numPr>
        <w:pStyle w:val="Compact"/>
      </w:pPr>
      <w:r>
        <w:t xml:space="preserve">Numero di domande di brevetto depositate: ≥ 2</w:t>
      </w:r>
    </w:p>
    <w:p>
      <w:pPr>
        <w:numPr>
          <w:ilvl w:val="0"/>
          <w:numId w:val="1039"/>
        </w:numPr>
        <w:pStyle w:val="Compact"/>
      </w:pPr>
      <w:r>
        <w:t xml:space="preserve">Dimensione del team: 8-10 persone</w:t>
      </w:r>
    </w:p>
    <w:p>
      <w:pPr>
        <w:numPr>
          <w:ilvl w:val="0"/>
          <w:numId w:val="1039"/>
        </w:numPr>
        <w:pStyle w:val="Compact"/>
      </w:pPr>
      <w:r>
        <w:t xml:space="preserve">Ricavi da progetti pilota: ≥ 250.000 €</w:t>
      </w:r>
    </w:p>
    <w:p>
      <w:pPr>
        <w:pStyle w:val="Heading2"/>
      </w:pPr>
      <w:bookmarkStart w:id="41" w:name="fase-3-crescita-24-36-mesi"/>
      <w:r>
        <w:t xml:space="preserve">Fase 3: Crescita (24-36 mesi)</w:t>
      </w:r>
      <w:bookmarkEnd w:id="41"/>
    </w:p>
    <w:p>
      <w:pPr>
        <w:pStyle w:val="Heading3"/>
      </w:pPr>
      <w:bookmarkStart w:id="42" w:name="obiettivi-principali-2"/>
      <w:r>
        <w:t xml:space="preserve">Obiettivi Principali</w:t>
      </w:r>
      <w:bookmarkEnd w:id="42"/>
    </w:p>
    <w:p>
      <w:pPr>
        <w:numPr>
          <w:ilvl w:val="0"/>
          <w:numId w:val="1040"/>
        </w:numPr>
        <w:pStyle w:val="Compact"/>
      </w:pPr>
      <w:r>
        <w:t xml:space="preserve">Lanciare commercialmente i prodotti</w:t>
      </w:r>
    </w:p>
    <w:p>
      <w:pPr>
        <w:numPr>
          <w:ilvl w:val="0"/>
          <w:numId w:val="1040"/>
        </w:numPr>
        <w:pStyle w:val="Compact"/>
      </w:pPr>
      <w:r>
        <w:t xml:space="preserve">Espandere la capacità produttiva</w:t>
      </w:r>
    </w:p>
    <w:p>
      <w:pPr>
        <w:numPr>
          <w:ilvl w:val="0"/>
          <w:numId w:val="1040"/>
        </w:numPr>
        <w:pStyle w:val="Compact"/>
      </w:pPr>
      <w:r>
        <w:t xml:space="preserve">Sviluppare nuove applicazioni e prodotti</w:t>
      </w:r>
    </w:p>
    <w:p>
      <w:pPr>
        <w:numPr>
          <w:ilvl w:val="0"/>
          <w:numId w:val="1040"/>
        </w:numPr>
        <w:pStyle w:val="Compact"/>
      </w:pPr>
      <w:r>
        <w:t xml:space="preserve">Ampliare la base clienti</w:t>
      </w:r>
    </w:p>
    <w:p>
      <w:pPr>
        <w:numPr>
          <w:ilvl w:val="0"/>
          <w:numId w:val="1040"/>
        </w:numPr>
        <w:pStyle w:val="Compact"/>
      </w:pPr>
      <w:r>
        <w:t xml:space="preserve">Raggiungere il break-even operativo</w:t>
      </w:r>
    </w:p>
    <w:p>
      <w:pPr>
        <w:pStyle w:val="Heading3"/>
      </w:pPr>
      <w:bookmarkStart w:id="43" w:name="attività-chiave-e-timeline-2"/>
      <w:r>
        <w:t xml:space="preserve">Attività Chiave e Timeline</w:t>
      </w:r>
      <w:bookmarkEnd w:id="43"/>
    </w:p>
    <w:p>
      <w:pPr>
        <w:pStyle w:val="Heading4"/>
      </w:pPr>
      <w:bookmarkStart w:id="44" w:name="mesi-25-27-lancio-commerciale"/>
      <w:r>
        <w:t xml:space="preserve">Mesi 25-27: Lancio Commerciale</w:t>
      </w:r>
      <w:bookmarkEnd w:id="44"/>
    </w:p>
    <w:p>
      <w:pPr>
        <w:numPr>
          <w:ilvl w:val="0"/>
          <w:numId w:val="1041"/>
        </w:numPr>
        <w:pStyle w:val="Compact"/>
      </w:pPr>
      <w:r>
        <w:rPr>
          <w:b/>
        </w:rPr>
        <w:t xml:space="preserve">Lancio ufficiale dei prodotti</w:t>
      </w:r>
      <w:r>
        <w:t xml:space="preserve"> </w:t>
      </w:r>
      <w:r>
        <w:t xml:space="preserve">(Mese 25)</w:t>
      </w:r>
    </w:p>
    <w:p>
      <w:pPr>
        <w:numPr>
          <w:ilvl w:val="1"/>
          <w:numId w:val="1042"/>
        </w:numPr>
        <w:pStyle w:val="Compact"/>
      </w:pPr>
      <w:r>
        <w:t xml:space="preserve">Evento di lancio</w:t>
      </w:r>
    </w:p>
    <w:p>
      <w:pPr>
        <w:numPr>
          <w:ilvl w:val="1"/>
          <w:numId w:val="1042"/>
        </w:numPr>
        <w:pStyle w:val="Compact"/>
      </w:pPr>
      <w:r>
        <w:t xml:space="preserve">Campagna di comunicazione</w:t>
      </w:r>
    </w:p>
    <w:p>
      <w:pPr>
        <w:numPr>
          <w:ilvl w:val="1"/>
          <w:numId w:val="1042"/>
        </w:numPr>
        <w:pStyle w:val="Compact"/>
      </w:pPr>
      <w:r>
        <w:t xml:space="preserve">Attivazione dei canali di vendita</w:t>
      </w:r>
    </w:p>
    <w:p>
      <w:pPr>
        <w:numPr>
          <w:ilvl w:val="0"/>
          <w:numId w:val="1041"/>
        </w:numPr>
        <w:pStyle w:val="Compact"/>
      </w:pPr>
      <w:r>
        <w:rPr>
          <w:b/>
        </w:rPr>
        <w:t xml:space="preserve">Implementazione della strategia commerciale</w:t>
      </w:r>
      <w:r>
        <w:t xml:space="preserve"> </w:t>
      </w:r>
      <w:r>
        <w:t xml:space="preserve">(Mese 26)</w:t>
      </w:r>
    </w:p>
    <w:p>
      <w:pPr>
        <w:numPr>
          <w:ilvl w:val="1"/>
          <w:numId w:val="1043"/>
        </w:numPr>
        <w:pStyle w:val="Compact"/>
      </w:pPr>
      <w:r>
        <w:t xml:space="preserve">Avvio delle attività di vendita diretta</w:t>
      </w:r>
    </w:p>
    <w:p>
      <w:pPr>
        <w:numPr>
          <w:ilvl w:val="1"/>
          <w:numId w:val="1043"/>
        </w:numPr>
        <w:pStyle w:val="Compact"/>
      </w:pPr>
      <w:r>
        <w:t xml:space="preserve">Attivazione delle partnership commerciali</w:t>
      </w:r>
    </w:p>
    <w:p>
      <w:pPr>
        <w:numPr>
          <w:ilvl w:val="1"/>
          <w:numId w:val="1043"/>
        </w:numPr>
        <w:pStyle w:val="Compact"/>
      </w:pPr>
      <w:r>
        <w:t xml:space="preserve">Monitoraggio delle performance di vendita</w:t>
      </w:r>
    </w:p>
    <w:p>
      <w:pPr>
        <w:numPr>
          <w:ilvl w:val="0"/>
          <w:numId w:val="1041"/>
        </w:numPr>
        <w:pStyle w:val="Compact"/>
      </w:pPr>
      <w:r>
        <w:rPr>
          <w:b/>
        </w:rPr>
        <w:t xml:space="preserve">Sviluppo del supporto tecnico ai clienti</w:t>
      </w:r>
      <w:r>
        <w:t xml:space="preserve"> </w:t>
      </w:r>
      <w:r>
        <w:t xml:space="preserve">(Mese 27)</w:t>
      </w:r>
    </w:p>
    <w:p>
      <w:pPr>
        <w:numPr>
          <w:ilvl w:val="1"/>
          <w:numId w:val="1044"/>
        </w:numPr>
        <w:pStyle w:val="Compact"/>
      </w:pPr>
      <w:r>
        <w:t xml:space="preserve">Definizione dei processi di supporto</w:t>
      </w:r>
    </w:p>
    <w:p>
      <w:pPr>
        <w:numPr>
          <w:ilvl w:val="1"/>
          <w:numId w:val="1044"/>
        </w:numPr>
        <w:pStyle w:val="Compact"/>
      </w:pPr>
      <w:r>
        <w:t xml:space="preserve">Sviluppo della documentazione tecnica</w:t>
      </w:r>
    </w:p>
    <w:p>
      <w:pPr>
        <w:numPr>
          <w:ilvl w:val="1"/>
          <w:numId w:val="1044"/>
        </w:numPr>
        <w:pStyle w:val="Compact"/>
      </w:pPr>
      <w:r>
        <w:t xml:space="preserve">Formazione del personale di supporto</w:t>
      </w:r>
    </w:p>
    <w:p>
      <w:pPr>
        <w:pStyle w:val="Heading4"/>
      </w:pPr>
      <w:bookmarkStart w:id="45" w:name="mesi-28-30-espansione-della-produzione"/>
      <w:r>
        <w:t xml:space="preserve">Mesi 28-30: Espansione della Produzione</w:t>
      </w:r>
      <w:bookmarkEnd w:id="45"/>
    </w:p>
    <w:p>
      <w:pPr>
        <w:numPr>
          <w:ilvl w:val="0"/>
          <w:numId w:val="1045"/>
        </w:numPr>
        <w:pStyle w:val="Compact"/>
      </w:pPr>
      <w:r>
        <w:rPr>
          <w:b/>
        </w:rPr>
        <w:t xml:space="preserve">Pianificazione dell’espansione produttiva</w:t>
      </w:r>
      <w:r>
        <w:t xml:space="preserve"> </w:t>
      </w:r>
      <w:r>
        <w:t xml:space="preserve">(Mese 28)</w:t>
      </w:r>
    </w:p>
    <w:p>
      <w:pPr>
        <w:numPr>
          <w:ilvl w:val="1"/>
          <w:numId w:val="1046"/>
        </w:numPr>
        <w:pStyle w:val="Compact"/>
      </w:pPr>
      <w:r>
        <w:t xml:space="preserve">Analisi della domanda</w:t>
      </w:r>
    </w:p>
    <w:p>
      <w:pPr>
        <w:numPr>
          <w:ilvl w:val="1"/>
          <w:numId w:val="1046"/>
        </w:numPr>
        <w:pStyle w:val="Compact"/>
      </w:pPr>
      <w:r>
        <w:t xml:space="preserve">Definizione dei requisiti di capacità</w:t>
      </w:r>
    </w:p>
    <w:p>
      <w:pPr>
        <w:numPr>
          <w:ilvl w:val="1"/>
          <w:numId w:val="1046"/>
        </w:numPr>
        <w:pStyle w:val="Compact"/>
      </w:pPr>
      <w:r>
        <w:t xml:space="preserve">Valutazione delle opzioni tecnologiche</w:t>
      </w:r>
    </w:p>
    <w:p>
      <w:pPr>
        <w:numPr>
          <w:ilvl w:val="0"/>
          <w:numId w:val="1045"/>
        </w:numPr>
        <w:pStyle w:val="Compact"/>
      </w:pPr>
      <w:r>
        <w:rPr>
          <w:b/>
        </w:rPr>
        <w:t xml:space="preserve">Implementazione dell’espansione produttiva</w:t>
      </w:r>
      <w:r>
        <w:t xml:space="preserve"> </w:t>
      </w:r>
      <w:r>
        <w:t xml:space="preserve">(Mese 29)</w:t>
      </w:r>
    </w:p>
    <w:p>
      <w:pPr>
        <w:numPr>
          <w:ilvl w:val="1"/>
          <w:numId w:val="1047"/>
        </w:numPr>
        <w:pStyle w:val="Compact"/>
      </w:pPr>
      <w:r>
        <w:t xml:space="preserve">Acquisto e installazione di nuove attrezzature</w:t>
      </w:r>
    </w:p>
    <w:p>
      <w:pPr>
        <w:numPr>
          <w:ilvl w:val="1"/>
          <w:numId w:val="1047"/>
        </w:numPr>
        <w:pStyle w:val="Compact"/>
      </w:pPr>
      <w:r>
        <w:t xml:space="preserve">Ottimizzazione dei processi produttivi</w:t>
      </w:r>
    </w:p>
    <w:p>
      <w:pPr>
        <w:numPr>
          <w:ilvl w:val="1"/>
          <w:numId w:val="1047"/>
        </w:numPr>
        <w:pStyle w:val="Compact"/>
      </w:pPr>
      <w:r>
        <w:t xml:space="preserve">Implementazione di sistemi di controllo avanzati</w:t>
      </w:r>
    </w:p>
    <w:p>
      <w:pPr>
        <w:numPr>
          <w:ilvl w:val="0"/>
          <w:numId w:val="1045"/>
        </w:numPr>
        <w:pStyle w:val="Compact"/>
      </w:pPr>
      <w:r>
        <w:rPr>
          <w:b/>
        </w:rPr>
        <w:t xml:space="preserve">Ottimizzazione della supply chain</w:t>
      </w:r>
      <w:r>
        <w:t xml:space="preserve"> </w:t>
      </w:r>
      <w:r>
        <w:t xml:space="preserve">(Mese 30)</w:t>
      </w:r>
    </w:p>
    <w:p>
      <w:pPr>
        <w:numPr>
          <w:ilvl w:val="1"/>
          <w:numId w:val="1048"/>
        </w:numPr>
        <w:pStyle w:val="Compact"/>
      </w:pPr>
      <w:r>
        <w:t xml:space="preserve">Sviluppo di relazioni con fornitori strategici</w:t>
      </w:r>
    </w:p>
    <w:p>
      <w:pPr>
        <w:numPr>
          <w:ilvl w:val="1"/>
          <w:numId w:val="1048"/>
        </w:numPr>
        <w:pStyle w:val="Compact"/>
      </w:pPr>
      <w:r>
        <w:t xml:space="preserve">Implementazione di sistemi di gestione dell’inventario</w:t>
      </w:r>
    </w:p>
    <w:p>
      <w:pPr>
        <w:numPr>
          <w:ilvl w:val="1"/>
          <w:numId w:val="1048"/>
        </w:numPr>
        <w:pStyle w:val="Compact"/>
      </w:pPr>
      <w:r>
        <w:t xml:space="preserve">Ottimizzazione della logistica</w:t>
      </w:r>
    </w:p>
    <w:p>
      <w:pPr>
        <w:pStyle w:val="Heading4"/>
      </w:pPr>
      <w:bookmarkStart w:id="46" w:name="X7e6f7e04c336fd30ff8018c031b67151df23f18"/>
      <w:r>
        <w:t xml:space="preserve">Mesi 31-33: Diversificazione e Innovazione</w:t>
      </w:r>
      <w:bookmarkEnd w:id="46"/>
    </w:p>
    <w:p>
      <w:pPr>
        <w:numPr>
          <w:ilvl w:val="0"/>
          <w:numId w:val="1049"/>
        </w:numPr>
        <w:pStyle w:val="Compact"/>
      </w:pPr>
      <w:r>
        <w:rPr>
          <w:b/>
        </w:rPr>
        <w:t xml:space="preserve">Sviluppo di nuove applicazioni</w:t>
      </w:r>
      <w:r>
        <w:t xml:space="preserve"> </w:t>
      </w:r>
      <w:r>
        <w:t xml:space="preserve">(Mese 31)</w:t>
      </w:r>
    </w:p>
    <w:p>
      <w:pPr>
        <w:numPr>
          <w:ilvl w:val="1"/>
          <w:numId w:val="1050"/>
        </w:numPr>
        <w:pStyle w:val="Compact"/>
      </w:pPr>
      <w:r>
        <w:t xml:space="preserve">Identificazione di nuove opportunità di mercato</w:t>
      </w:r>
    </w:p>
    <w:p>
      <w:pPr>
        <w:numPr>
          <w:ilvl w:val="1"/>
          <w:numId w:val="1050"/>
        </w:numPr>
        <w:pStyle w:val="Compact"/>
      </w:pPr>
      <w:r>
        <w:t xml:space="preserve">Avvio di progetti di R&amp;S per nuove applicazioni</w:t>
      </w:r>
    </w:p>
    <w:p>
      <w:pPr>
        <w:numPr>
          <w:ilvl w:val="1"/>
          <w:numId w:val="1050"/>
        </w:numPr>
        <w:pStyle w:val="Compact"/>
      </w:pPr>
      <w:r>
        <w:t xml:space="preserve">Collaborazione con partner tecnologici</w:t>
      </w:r>
    </w:p>
    <w:p>
      <w:pPr>
        <w:numPr>
          <w:ilvl w:val="0"/>
          <w:numId w:val="1049"/>
        </w:numPr>
        <w:pStyle w:val="Compact"/>
      </w:pPr>
      <w:r>
        <w:rPr>
          <w:b/>
        </w:rPr>
        <w:t xml:space="preserve">Espansione del portafoglio prodotti</w:t>
      </w:r>
      <w:r>
        <w:t xml:space="preserve"> </w:t>
      </w:r>
      <w:r>
        <w:t xml:space="preserve">(Mese 32)</w:t>
      </w:r>
    </w:p>
    <w:p>
      <w:pPr>
        <w:numPr>
          <w:ilvl w:val="1"/>
          <w:numId w:val="1051"/>
        </w:numPr>
        <w:pStyle w:val="Compact"/>
      </w:pPr>
      <w:r>
        <w:t xml:space="preserve">Sviluppo di nuove varianti di prodotto</w:t>
      </w:r>
    </w:p>
    <w:p>
      <w:pPr>
        <w:numPr>
          <w:ilvl w:val="1"/>
          <w:numId w:val="1051"/>
        </w:numPr>
        <w:pStyle w:val="Compact"/>
      </w:pPr>
      <w:r>
        <w:t xml:space="preserve">Test e validazione</w:t>
      </w:r>
    </w:p>
    <w:p>
      <w:pPr>
        <w:numPr>
          <w:ilvl w:val="1"/>
          <w:numId w:val="1051"/>
        </w:numPr>
        <w:pStyle w:val="Compact"/>
      </w:pPr>
      <w:r>
        <w:t xml:space="preserve">Preparazione per il lancio commerciale</w:t>
      </w:r>
    </w:p>
    <w:p>
      <w:pPr>
        <w:numPr>
          <w:ilvl w:val="0"/>
          <w:numId w:val="1049"/>
        </w:numPr>
        <w:pStyle w:val="Compact"/>
      </w:pPr>
      <w:r>
        <w:rPr>
          <w:b/>
        </w:rPr>
        <w:t xml:space="preserve">Implementazione di processi di innovazione continua</w:t>
      </w:r>
      <w:r>
        <w:t xml:space="preserve"> </w:t>
      </w:r>
      <w:r>
        <w:t xml:space="preserve">(Mese 33)</w:t>
      </w:r>
    </w:p>
    <w:p>
      <w:pPr>
        <w:numPr>
          <w:ilvl w:val="1"/>
          <w:numId w:val="1052"/>
        </w:numPr>
        <w:pStyle w:val="Compact"/>
      </w:pPr>
      <w:r>
        <w:t xml:space="preserve">Sviluppo di un sistema di gestione dell’innovazione</w:t>
      </w:r>
    </w:p>
    <w:p>
      <w:pPr>
        <w:numPr>
          <w:ilvl w:val="1"/>
          <w:numId w:val="1052"/>
        </w:numPr>
        <w:pStyle w:val="Compact"/>
      </w:pPr>
      <w:r>
        <w:t xml:space="preserve">Allocazione di risorse per progetti di R&amp;S</w:t>
      </w:r>
    </w:p>
    <w:p>
      <w:pPr>
        <w:numPr>
          <w:ilvl w:val="1"/>
          <w:numId w:val="1052"/>
        </w:numPr>
        <w:pStyle w:val="Compact"/>
      </w:pPr>
      <w:r>
        <w:t xml:space="preserve">Monitoraggio delle tendenze tecnologiche e di mercato</w:t>
      </w:r>
    </w:p>
    <w:p>
      <w:pPr>
        <w:pStyle w:val="Heading4"/>
      </w:pPr>
      <w:bookmarkStart w:id="47" w:name="Xf4b97765f1a93da1f1f283fd59fb5624e8d28a8"/>
      <w:r>
        <w:t xml:space="preserve">Mesi 34-36: Consolidamento e Pianificazione Strategica</w:t>
      </w:r>
      <w:bookmarkEnd w:id="47"/>
    </w:p>
    <w:p>
      <w:pPr>
        <w:numPr>
          <w:ilvl w:val="0"/>
          <w:numId w:val="1053"/>
        </w:numPr>
        <w:pStyle w:val="Compact"/>
      </w:pPr>
      <w:r>
        <w:rPr>
          <w:b/>
        </w:rPr>
        <w:t xml:space="preserve">Ottimizzazione delle operazioni</w:t>
      </w:r>
      <w:r>
        <w:t xml:space="preserve"> </w:t>
      </w:r>
      <w:r>
        <w:t xml:space="preserve">(Mese 34)</w:t>
      </w:r>
    </w:p>
    <w:p>
      <w:pPr>
        <w:numPr>
          <w:ilvl w:val="1"/>
          <w:numId w:val="1054"/>
        </w:numPr>
        <w:pStyle w:val="Compact"/>
      </w:pPr>
      <w:r>
        <w:t xml:space="preserve">Analisi dell’efficienza operativa</w:t>
      </w:r>
    </w:p>
    <w:p>
      <w:pPr>
        <w:numPr>
          <w:ilvl w:val="1"/>
          <w:numId w:val="1054"/>
        </w:numPr>
        <w:pStyle w:val="Compact"/>
      </w:pPr>
      <w:r>
        <w:t xml:space="preserve">Implementazione di miglioramenti dei processi</w:t>
      </w:r>
    </w:p>
    <w:p>
      <w:pPr>
        <w:numPr>
          <w:ilvl w:val="1"/>
          <w:numId w:val="1054"/>
        </w:numPr>
        <w:pStyle w:val="Compact"/>
      </w:pPr>
      <w:r>
        <w:t xml:space="preserve">Riduzione dei costi operativi</w:t>
      </w:r>
    </w:p>
    <w:p>
      <w:pPr>
        <w:numPr>
          <w:ilvl w:val="0"/>
          <w:numId w:val="1053"/>
        </w:numPr>
        <w:pStyle w:val="Compact"/>
      </w:pPr>
      <w:r>
        <w:rPr>
          <w:b/>
        </w:rPr>
        <w:t xml:space="preserve">Raggiungimento del break-even operativo</w:t>
      </w:r>
      <w:r>
        <w:t xml:space="preserve"> </w:t>
      </w:r>
      <w:r>
        <w:t xml:space="preserve">(Mese 35)</w:t>
      </w:r>
    </w:p>
    <w:p>
      <w:pPr>
        <w:numPr>
          <w:ilvl w:val="1"/>
          <w:numId w:val="1055"/>
        </w:numPr>
        <w:pStyle w:val="Compact"/>
      </w:pPr>
      <w:r>
        <w:t xml:space="preserve">Monitoraggio delle performance finanziarie</w:t>
      </w:r>
    </w:p>
    <w:p>
      <w:pPr>
        <w:numPr>
          <w:ilvl w:val="1"/>
          <w:numId w:val="1055"/>
        </w:numPr>
        <w:pStyle w:val="Compact"/>
      </w:pPr>
      <w:r>
        <w:t xml:space="preserve">Ottimizzazione del mix di prodotti</w:t>
      </w:r>
    </w:p>
    <w:p>
      <w:pPr>
        <w:numPr>
          <w:ilvl w:val="1"/>
          <w:numId w:val="1055"/>
        </w:numPr>
        <w:pStyle w:val="Compact"/>
      </w:pPr>
      <w:r>
        <w:t xml:space="preserve">Gestione attiva del capitale circolante</w:t>
      </w:r>
    </w:p>
    <w:p>
      <w:pPr>
        <w:numPr>
          <w:ilvl w:val="0"/>
          <w:numId w:val="1053"/>
        </w:numPr>
        <w:pStyle w:val="Compact"/>
      </w:pPr>
      <w:r>
        <w:rPr>
          <w:b/>
        </w:rPr>
        <w:t xml:space="preserve">Sviluppo della strategia a medio termine</w:t>
      </w:r>
      <w:r>
        <w:t xml:space="preserve"> </w:t>
      </w:r>
      <w:r>
        <w:t xml:space="preserve">(Mese 36)</w:t>
      </w:r>
    </w:p>
    <w:p>
      <w:pPr>
        <w:numPr>
          <w:ilvl w:val="1"/>
          <w:numId w:val="1056"/>
        </w:numPr>
        <w:pStyle w:val="Compact"/>
      </w:pPr>
      <w:r>
        <w:t xml:space="preserve">Valutazione delle opportunità di espansione</w:t>
      </w:r>
    </w:p>
    <w:p>
      <w:pPr>
        <w:numPr>
          <w:ilvl w:val="1"/>
          <w:numId w:val="1056"/>
        </w:numPr>
        <w:pStyle w:val="Compact"/>
      </w:pPr>
      <w:r>
        <w:t xml:space="preserve">Definizione degli obiettivi per la fase successiva</w:t>
      </w:r>
    </w:p>
    <w:p>
      <w:pPr>
        <w:numPr>
          <w:ilvl w:val="1"/>
          <w:numId w:val="1056"/>
        </w:numPr>
        <w:pStyle w:val="Compact"/>
      </w:pPr>
      <w:r>
        <w:t xml:space="preserve">Pianificazione delle risorse necessarie</w:t>
      </w:r>
    </w:p>
    <w:p>
      <w:pPr>
        <w:pStyle w:val="Heading3"/>
      </w:pPr>
      <w:bookmarkStart w:id="48" w:name="milestone-e-deliverable-2"/>
      <w:r>
        <w:t xml:space="preserve">Milestone e Deliverable</w:t>
      </w:r>
      <w:bookmarkEnd w:id="48"/>
    </w:p>
    <w:p>
      <w:pPr>
        <w:numPr>
          <w:ilvl w:val="0"/>
          <w:numId w:val="1057"/>
        </w:numPr>
        <w:pStyle w:val="Compact"/>
      </w:pPr>
      <w:r>
        <w:rPr>
          <w:b/>
        </w:rPr>
        <w:t xml:space="preserve">M3.1</w:t>
      </w:r>
      <w:r>
        <w:t xml:space="preserve">: Lancio commerciale completato (Mese 25)</w:t>
      </w:r>
    </w:p>
    <w:p>
      <w:pPr>
        <w:numPr>
          <w:ilvl w:val="0"/>
          <w:numId w:val="1057"/>
        </w:numPr>
        <w:pStyle w:val="Compact"/>
      </w:pPr>
      <w:r>
        <w:rPr>
          <w:b/>
        </w:rPr>
        <w:t xml:space="preserve">M3.2</w:t>
      </w:r>
      <w:r>
        <w:t xml:space="preserve">: Sistema di supporto tecnico operativo (Mese 27)</w:t>
      </w:r>
    </w:p>
    <w:p>
      <w:pPr>
        <w:numPr>
          <w:ilvl w:val="0"/>
          <w:numId w:val="1057"/>
        </w:numPr>
        <w:pStyle w:val="Compact"/>
      </w:pPr>
      <w:r>
        <w:rPr>
          <w:b/>
        </w:rPr>
        <w:t xml:space="preserve">M3.3</w:t>
      </w:r>
      <w:r>
        <w:t xml:space="preserve">: Capacità produttiva aumentata (Mese 30)</w:t>
      </w:r>
    </w:p>
    <w:p>
      <w:pPr>
        <w:numPr>
          <w:ilvl w:val="0"/>
          <w:numId w:val="1057"/>
        </w:numPr>
        <w:pStyle w:val="Compact"/>
      </w:pPr>
      <w:r>
        <w:rPr>
          <w:b/>
        </w:rPr>
        <w:t xml:space="preserve">M3.4</w:t>
      </w:r>
      <w:r>
        <w:t xml:space="preserve">: Almeno 2 nuove applicazioni sviluppate (Mese 32)</w:t>
      </w:r>
    </w:p>
    <w:p>
      <w:pPr>
        <w:numPr>
          <w:ilvl w:val="0"/>
          <w:numId w:val="1057"/>
        </w:numPr>
        <w:pStyle w:val="Compact"/>
      </w:pPr>
      <w:r>
        <w:rPr>
          <w:b/>
        </w:rPr>
        <w:t xml:space="preserve">M3.5</w:t>
      </w:r>
      <w:r>
        <w:t xml:space="preserve">: Break-even operativo raggiunto (Mese 35)</w:t>
      </w:r>
    </w:p>
    <w:p>
      <w:pPr>
        <w:numPr>
          <w:ilvl w:val="0"/>
          <w:numId w:val="1057"/>
        </w:numPr>
        <w:pStyle w:val="Compact"/>
      </w:pPr>
      <w:r>
        <w:rPr>
          <w:b/>
        </w:rPr>
        <w:t xml:space="preserve">M3.6</w:t>
      </w:r>
      <w:r>
        <w:t xml:space="preserve">: Strategia a medio termine definita (Mese 36)</w:t>
      </w:r>
    </w:p>
    <w:p>
      <w:pPr>
        <w:pStyle w:val="Heading3"/>
      </w:pPr>
      <w:bookmarkStart w:id="49" w:name="kpi-e-metriche-di-successo-2"/>
      <w:r>
        <w:t xml:space="preserve">KPI e Metriche di Successo</w:t>
      </w:r>
      <w:bookmarkEnd w:id="49"/>
    </w:p>
    <w:p>
      <w:pPr>
        <w:numPr>
          <w:ilvl w:val="0"/>
          <w:numId w:val="1058"/>
        </w:numPr>
        <w:pStyle w:val="Compact"/>
      </w:pPr>
      <w:r>
        <w:t xml:space="preserve">Ricavi annuali: ≥ 1,5 milioni di €</w:t>
      </w:r>
    </w:p>
    <w:p>
      <w:pPr>
        <w:numPr>
          <w:ilvl w:val="0"/>
          <w:numId w:val="1058"/>
        </w:numPr>
        <w:pStyle w:val="Compact"/>
      </w:pPr>
      <w:r>
        <w:t xml:space="preserve">Numero di clienti attivi: ≥ 15</w:t>
      </w:r>
    </w:p>
    <w:p>
      <w:pPr>
        <w:numPr>
          <w:ilvl w:val="0"/>
          <w:numId w:val="1058"/>
        </w:numPr>
        <w:pStyle w:val="Compact"/>
      </w:pPr>
      <w:r>
        <w:t xml:space="preserve">Capacità produttiva: ≥ 300 kg/mese</w:t>
      </w:r>
    </w:p>
    <w:p>
      <w:pPr>
        <w:numPr>
          <w:ilvl w:val="0"/>
          <w:numId w:val="1058"/>
        </w:numPr>
        <w:pStyle w:val="Compact"/>
      </w:pPr>
      <w:r>
        <w:t xml:space="preserve">Margine lordo: ≥ 50%</w:t>
      </w:r>
    </w:p>
    <w:p>
      <w:pPr>
        <w:numPr>
          <w:ilvl w:val="0"/>
          <w:numId w:val="1058"/>
        </w:numPr>
        <w:pStyle w:val="Compact"/>
      </w:pPr>
      <w:r>
        <w:t xml:space="preserve">EBITDA: ≥ 10% dei ricavi</w:t>
      </w:r>
    </w:p>
    <w:p>
      <w:pPr>
        <w:pStyle w:val="Heading2"/>
      </w:pPr>
      <w:bookmarkStart w:id="50" w:name="fase-4-espansione-36-60-mesi"/>
      <w:r>
        <w:t xml:space="preserve">Fase 4: Espansione (36-60 mesi)</w:t>
      </w:r>
      <w:bookmarkEnd w:id="50"/>
    </w:p>
    <w:p>
      <w:pPr>
        <w:pStyle w:val="Heading3"/>
      </w:pPr>
      <w:bookmarkStart w:id="51" w:name="obiettivi-principali-3"/>
      <w:r>
        <w:t xml:space="preserve">Obiettivi Principali</w:t>
      </w:r>
      <w:bookmarkEnd w:id="51"/>
    </w:p>
    <w:p>
      <w:pPr>
        <w:numPr>
          <w:ilvl w:val="0"/>
          <w:numId w:val="1059"/>
        </w:numPr>
        <w:pStyle w:val="Compact"/>
      </w:pPr>
      <w:r>
        <w:t xml:space="preserve">Espandere geograficamente in nuovi mercati</w:t>
      </w:r>
    </w:p>
    <w:p>
      <w:pPr>
        <w:numPr>
          <w:ilvl w:val="0"/>
          <w:numId w:val="1059"/>
        </w:numPr>
        <w:pStyle w:val="Compact"/>
      </w:pPr>
      <w:r>
        <w:t xml:space="preserve">Diversificare il portafoglio prodotti</w:t>
      </w:r>
    </w:p>
    <w:p>
      <w:pPr>
        <w:numPr>
          <w:ilvl w:val="0"/>
          <w:numId w:val="1059"/>
        </w:numPr>
        <w:pStyle w:val="Compact"/>
      </w:pPr>
      <w:r>
        <w:t xml:space="preserve">Sviluppare partnership strategiche</w:t>
      </w:r>
    </w:p>
    <w:p>
      <w:pPr>
        <w:numPr>
          <w:ilvl w:val="0"/>
          <w:numId w:val="1059"/>
        </w:numPr>
        <w:pStyle w:val="Compact"/>
      </w:pPr>
      <w:r>
        <w:t xml:space="preserve">Valutare opportunità di M&amp;A</w:t>
      </w:r>
    </w:p>
    <w:p>
      <w:pPr>
        <w:numPr>
          <w:ilvl w:val="0"/>
          <w:numId w:val="1059"/>
        </w:numPr>
        <w:pStyle w:val="Compact"/>
      </w:pPr>
      <w:r>
        <w:t xml:space="preserve">Preparare un potenziale round di finanziamento Series A</w:t>
      </w:r>
    </w:p>
    <w:p>
      <w:pPr>
        <w:pStyle w:val="Heading3"/>
      </w:pPr>
      <w:bookmarkStart w:id="52" w:name="attività-chiave-e-timeline-3"/>
      <w:r>
        <w:t xml:space="preserve">Attività Chiave e Timeline</w:t>
      </w:r>
      <w:bookmarkEnd w:id="52"/>
    </w:p>
    <w:p>
      <w:pPr>
        <w:pStyle w:val="Heading4"/>
      </w:pPr>
      <w:bookmarkStart w:id="53" w:name="mesi-37-42-espansione-geografica"/>
      <w:r>
        <w:t xml:space="preserve">Mesi 37-42: Espansione Geografica</w:t>
      </w:r>
      <w:bookmarkEnd w:id="53"/>
    </w:p>
    <w:p>
      <w:pPr>
        <w:numPr>
          <w:ilvl w:val="0"/>
          <w:numId w:val="1060"/>
        </w:numPr>
        <w:pStyle w:val="Compact"/>
      </w:pPr>
      <w:r>
        <w:rPr>
          <w:b/>
        </w:rPr>
        <w:t xml:space="preserve">Analisi dei mercati internazionali</w:t>
      </w:r>
      <w:r>
        <w:t xml:space="preserve"> </w:t>
      </w:r>
      <w:r>
        <w:t xml:space="preserve">(Mesi 37-38)</w:t>
      </w:r>
    </w:p>
    <w:p>
      <w:pPr>
        <w:numPr>
          <w:ilvl w:val="1"/>
          <w:numId w:val="1061"/>
        </w:numPr>
        <w:pStyle w:val="Compact"/>
      </w:pPr>
      <w:r>
        <w:t xml:space="preserve">Identificazione dei mercati target</w:t>
      </w:r>
    </w:p>
    <w:p>
      <w:pPr>
        <w:numPr>
          <w:ilvl w:val="1"/>
          <w:numId w:val="1061"/>
        </w:numPr>
        <w:pStyle w:val="Compact"/>
      </w:pPr>
      <w:r>
        <w:t xml:space="preserve">Analisi delle barriere all’ingresso</w:t>
      </w:r>
    </w:p>
    <w:p>
      <w:pPr>
        <w:numPr>
          <w:ilvl w:val="1"/>
          <w:numId w:val="1061"/>
        </w:numPr>
        <w:pStyle w:val="Compact"/>
      </w:pPr>
      <w:r>
        <w:t xml:space="preserve">Valutazione delle modalità di ingresso</w:t>
      </w:r>
    </w:p>
    <w:p>
      <w:pPr>
        <w:numPr>
          <w:ilvl w:val="0"/>
          <w:numId w:val="1060"/>
        </w:numPr>
        <w:pStyle w:val="Compact"/>
      </w:pPr>
      <w:r>
        <w:rPr>
          <w:b/>
        </w:rPr>
        <w:t xml:space="preserve">Sviluppo della strategia di internazionalizzazione</w:t>
      </w:r>
      <w:r>
        <w:t xml:space="preserve"> </w:t>
      </w:r>
      <w:r>
        <w:t xml:space="preserve">(Mesi 39-40)</w:t>
      </w:r>
    </w:p>
    <w:p>
      <w:pPr>
        <w:numPr>
          <w:ilvl w:val="1"/>
          <w:numId w:val="1062"/>
        </w:numPr>
        <w:pStyle w:val="Compact"/>
      </w:pPr>
      <w:r>
        <w:t xml:space="preserve">Definizione del modello di business internazionale</w:t>
      </w:r>
    </w:p>
    <w:p>
      <w:pPr>
        <w:numPr>
          <w:ilvl w:val="1"/>
          <w:numId w:val="1062"/>
        </w:numPr>
        <w:pStyle w:val="Compact"/>
      </w:pPr>
      <w:r>
        <w:t xml:space="preserve">Pianificazione delle risorse necessarie</w:t>
      </w:r>
    </w:p>
    <w:p>
      <w:pPr>
        <w:numPr>
          <w:ilvl w:val="1"/>
          <w:numId w:val="1062"/>
        </w:numPr>
        <w:pStyle w:val="Compact"/>
      </w:pPr>
      <w:r>
        <w:t xml:space="preserve">Sviluppo di partnership locali</w:t>
      </w:r>
    </w:p>
    <w:p>
      <w:pPr>
        <w:numPr>
          <w:ilvl w:val="0"/>
          <w:numId w:val="1060"/>
        </w:numPr>
        <w:pStyle w:val="Compact"/>
      </w:pPr>
      <w:r>
        <w:rPr>
          <w:b/>
        </w:rPr>
        <w:t xml:space="preserve">Implementazione dell’espansione internazionale</w:t>
      </w:r>
      <w:r>
        <w:t xml:space="preserve"> </w:t>
      </w:r>
      <w:r>
        <w:t xml:space="preserve">(Mesi 41-42)</w:t>
      </w:r>
    </w:p>
    <w:p>
      <w:pPr>
        <w:numPr>
          <w:ilvl w:val="1"/>
          <w:numId w:val="1063"/>
        </w:numPr>
        <w:pStyle w:val="Compact"/>
      </w:pPr>
      <w:r>
        <w:t xml:space="preserve">Avvio delle operazioni nei primi mercati target</w:t>
      </w:r>
    </w:p>
    <w:p>
      <w:pPr>
        <w:numPr>
          <w:ilvl w:val="1"/>
          <w:numId w:val="1063"/>
        </w:numPr>
        <w:pStyle w:val="Compact"/>
      </w:pPr>
      <w:r>
        <w:t xml:space="preserve">Adattamento dell’offerta alle esigenze locali</w:t>
      </w:r>
    </w:p>
    <w:p>
      <w:pPr>
        <w:numPr>
          <w:ilvl w:val="1"/>
          <w:numId w:val="1063"/>
        </w:numPr>
        <w:pStyle w:val="Compact"/>
      </w:pPr>
      <w:r>
        <w:t xml:space="preserve">Monitoraggio delle performance</w:t>
      </w:r>
    </w:p>
    <w:p>
      <w:pPr>
        <w:pStyle w:val="Heading4"/>
      </w:pPr>
      <w:bookmarkStart w:id="54" w:name="X2f0252d5bb1cb832c5d8e769923126254db60bf"/>
      <w:r>
        <w:t xml:space="preserve">Mesi 43-48: Diversificazione del Portafoglio</w:t>
      </w:r>
      <w:bookmarkEnd w:id="54"/>
    </w:p>
    <w:p>
      <w:pPr>
        <w:numPr>
          <w:ilvl w:val="0"/>
          <w:numId w:val="1064"/>
        </w:numPr>
        <w:pStyle w:val="Compact"/>
      </w:pPr>
      <w:r>
        <w:rPr>
          <w:b/>
        </w:rPr>
        <w:t xml:space="preserve">Ricerca e sviluppo su nuovi materiali 2D</w:t>
      </w:r>
      <w:r>
        <w:t xml:space="preserve"> </w:t>
      </w:r>
      <w:r>
        <w:t xml:space="preserve">(Mesi 43-44)</w:t>
      </w:r>
    </w:p>
    <w:p>
      <w:pPr>
        <w:numPr>
          <w:ilvl w:val="1"/>
          <w:numId w:val="1065"/>
        </w:numPr>
        <w:pStyle w:val="Compact"/>
      </w:pPr>
      <w:r>
        <w:t xml:space="preserve">Esplorazione di materiali 2D oltre il grafene</w:t>
      </w:r>
    </w:p>
    <w:p>
      <w:pPr>
        <w:numPr>
          <w:ilvl w:val="1"/>
          <w:numId w:val="1065"/>
        </w:numPr>
        <w:pStyle w:val="Compact"/>
      </w:pPr>
      <w:r>
        <w:t xml:space="preserve">Valutazione delle potenziali applicazioni</w:t>
      </w:r>
    </w:p>
    <w:p>
      <w:pPr>
        <w:numPr>
          <w:ilvl w:val="1"/>
          <w:numId w:val="1065"/>
        </w:numPr>
        <w:pStyle w:val="Compact"/>
      </w:pPr>
      <w:r>
        <w:t xml:space="preserve">Sviluppo di prototipi</w:t>
      </w:r>
    </w:p>
    <w:p>
      <w:pPr>
        <w:numPr>
          <w:ilvl w:val="0"/>
          <w:numId w:val="1064"/>
        </w:numPr>
        <w:pStyle w:val="Compact"/>
      </w:pPr>
      <w:r>
        <w:rPr>
          <w:b/>
        </w:rPr>
        <w:t xml:space="preserve">Sviluppo di soluzioni integrate</w:t>
      </w:r>
      <w:r>
        <w:t xml:space="preserve"> </w:t>
      </w:r>
      <w:r>
        <w:t xml:space="preserve">(Mesi 45-46)</w:t>
      </w:r>
    </w:p>
    <w:p>
      <w:pPr>
        <w:numPr>
          <w:ilvl w:val="1"/>
          <w:numId w:val="1066"/>
        </w:numPr>
        <w:pStyle w:val="Compact"/>
      </w:pPr>
      <w:r>
        <w:t xml:space="preserve">Combinazione di diversi materiali 2D</w:t>
      </w:r>
    </w:p>
    <w:p>
      <w:pPr>
        <w:numPr>
          <w:ilvl w:val="1"/>
          <w:numId w:val="1066"/>
        </w:numPr>
        <w:pStyle w:val="Compact"/>
      </w:pPr>
      <w:r>
        <w:t xml:space="preserve">Sviluppo di soluzioni end-to-end</w:t>
      </w:r>
    </w:p>
    <w:p>
      <w:pPr>
        <w:numPr>
          <w:ilvl w:val="1"/>
          <w:numId w:val="1066"/>
        </w:numPr>
        <w:pStyle w:val="Compact"/>
      </w:pPr>
      <w:r>
        <w:t xml:space="preserve">Test e validazione</w:t>
      </w:r>
    </w:p>
    <w:p>
      <w:pPr>
        <w:numPr>
          <w:ilvl w:val="0"/>
          <w:numId w:val="1064"/>
        </w:numPr>
        <w:pStyle w:val="Compact"/>
      </w:pPr>
      <w:r>
        <w:rPr>
          <w:b/>
        </w:rPr>
        <w:t xml:space="preserve">Lancio di nuove linee di prodotto</w:t>
      </w:r>
      <w:r>
        <w:t xml:space="preserve"> </w:t>
      </w:r>
      <w:r>
        <w:t xml:space="preserve">(Mesi 47-48)</w:t>
      </w:r>
    </w:p>
    <w:p>
      <w:pPr>
        <w:numPr>
          <w:ilvl w:val="1"/>
          <w:numId w:val="1067"/>
        </w:numPr>
        <w:pStyle w:val="Compact"/>
      </w:pPr>
      <w:r>
        <w:t xml:space="preserve">Finalizzazione delle specifiche di prodotto</w:t>
      </w:r>
    </w:p>
    <w:p>
      <w:pPr>
        <w:numPr>
          <w:ilvl w:val="1"/>
          <w:numId w:val="1067"/>
        </w:numPr>
        <w:pStyle w:val="Compact"/>
      </w:pPr>
      <w:r>
        <w:t xml:space="preserve">Preparazione della produzione</w:t>
      </w:r>
    </w:p>
    <w:p>
      <w:pPr>
        <w:numPr>
          <w:ilvl w:val="1"/>
          <w:numId w:val="1067"/>
        </w:numPr>
        <w:pStyle w:val="Compact"/>
      </w:pPr>
      <w:r>
        <w:t xml:space="preserve">Lancio commerciale</w:t>
      </w:r>
    </w:p>
    <w:p>
      <w:pPr>
        <w:pStyle w:val="Heading4"/>
      </w:pPr>
      <w:bookmarkStart w:id="55" w:name="mesi-49-54-partnership-strategiche-e-ma"/>
      <w:r>
        <w:t xml:space="preserve">Mesi 49-54: Partnership Strategiche e M&amp;A</w:t>
      </w:r>
      <w:bookmarkEnd w:id="55"/>
    </w:p>
    <w:p>
      <w:pPr>
        <w:numPr>
          <w:ilvl w:val="0"/>
          <w:numId w:val="1068"/>
        </w:numPr>
        <w:pStyle w:val="Compact"/>
      </w:pPr>
      <w:r>
        <w:rPr>
          <w:b/>
        </w:rPr>
        <w:t xml:space="preserve">Identificazione di partner strategici</w:t>
      </w:r>
      <w:r>
        <w:t xml:space="preserve"> </w:t>
      </w:r>
      <w:r>
        <w:t xml:space="preserve">(Mesi 49-50)</w:t>
      </w:r>
    </w:p>
    <w:p>
      <w:pPr>
        <w:numPr>
          <w:ilvl w:val="1"/>
          <w:numId w:val="1069"/>
        </w:numPr>
        <w:pStyle w:val="Compact"/>
      </w:pPr>
      <w:r>
        <w:t xml:space="preserve">Mappatura dell’ecosistema</w:t>
      </w:r>
    </w:p>
    <w:p>
      <w:pPr>
        <w:numPr>
          <w:ilvl w:val="1"/>
          <w:numId w:val="1069"/>
        </w:numPr>
        <w:pStyle w:val="Compact"/>
      </w:pPr>
      <w:r>
        <w:t xml:space="preserve">Valutazione delle potenziali sinergie</w:t>
      </w:r>
    </w:p>
    <w:p>
      <w:pPr>
        <w:numPr>
          <w:ilvl w:val="1"/>
          <w:numId w:val="1069"/>
        </w:numPr>
        <w:pStyle w:val="Compact"/>
      </w:pPr>
      <w:r>
        <w:t xml:space="preserve">Avvio dei contatti</w:t>
      </w:r>
    </w:p>
    <w:p>
      <w:pPr>
        <w:numPr>
          <w:ilvl w:val="0"/>
          <w:numId w:val="1068"/>
        </w:numPr>
        <w:pStyle w:val="Compact"/>
      </w:pPr>
      <w:r>
        <w:rPr>
          <w:b/>
        </w:rPr>
        <w:t xml:space="preserve">Sviluppo di alleanze strategiche</w:t>
      </w:r>
      <w:r>
        <w:t xml:space="preserve"> </w:t>
      </w:r>
      <w:r>
        <w:t xml:space="preserve">(Mesi 51-52)</w:t>
      </w:r>
    </w:p>
    <w:p>
      <w:pPr>
        <w:numPr>
          <w:ilvl w:val="1"/>
          <w:numId w:val="1070"/>
        </w:numPr>
        <w:pStyle w:val="Compact"/>
      </w:pPr>
      <w:r>
        <w:t xml:space="preserve">Negoziazione degli accordi</w:t>
      </w:r>
    </w:p>
    <w:p>
      <w:pPr>
        <w:numPr>
          <w:ilvl w:val="1"/>
          <w:numId w:val="1070"/>
        </w:numPr>
        <w:pStyle w:val="Compact"/>
      </w:pPr>
      <w:r>
        <w:t xml:space="preserve">Definizione dei modelli di collaborazione</w:t>
      </w:r>
    </w:p>
    <w:p>
      <w:pPr>
        <w:numPr>
          <w:ilvl w:val="1"/>
          <w:numId w:val="1070"/>
        </w:numPr>
        <w:pStyle w:val="Compact"/>
      </w:pPr>
      <w:r>
        <w:t xml:space="preserve">Implementazione dei primi progetti congiunti</w:t>
      </w:r>
    </w:p>
    <w:p>
      <w:pPr>
        <w:numPr>
          <w:ilvl w:val="0"/>
          <w:numId w:val="1068"/>
        </w:numPr>
        <w:pStyle w:val="Compact"/>
      </w:pPr>
      <w:r>
        <w:rPr>
          <w:b/>
        </w:rPr>
        <w:t xml:space="preserve">Valutazione di opportunità di M&amp;A</w:t>
      </w:r>
      <w:r>
        <w:t xml:space="preserve"> </w:t>
      </w:r>
      <w:r>
        <w:t xml:space="preserve">(Mesi 53-54)</w:t>
      </w:r>
    </w:p>
    <w:p>
      <w:pPr>
        <w:numPr>
          <w:ilvl w:val="1"/>
          <w:numId w:val="1071"/>
        </w:numPr>
        <w:pStyle w:val="Compact"/>
      </w:pPr>
      <w:r>
        <w:t xml:space="preserve">Identificazione di potenziali target</w:t>
      </w:r>
    </w:p>
    <w:p>
      <w:pPr>
        <w:numPr>
          <w:ilvl w:val="1"/>
          <w:numId w:val="1071"/>
        </w:numPr>
        <w:pStyle w:val="Compact"/>
      </w:pPr>
      <w:r>
        <w:t xml:space="preserve">Due diligence preliminare</w:t>
      </w:r>
    </w:p>
    <w:p>
      <w:pPr>
        <w:numPr>
          <w:ilvl w:val="1"/>
          <w:numId w:val="1071"/>
        </w:numPr>
        <w:pStyle w:val="Compact"/>
      </w:pPr>
      <w:r>
        <w:t xml:space="preserve">Valutazione dell’impatto strategico e finanziario</w:t>
      </w:r>
    </w:p>
    <w:p>
      <w:pPr>
        <w:pStyle w:val="Heading4"/>
      </w:pPr>
      <w:bookmarkStart w:id="56" w:name="Xcea2125f0d9e355f16c942fe3d9d8f5ca43b874"/>
      <w:r>
        <w:t xml:space="preserve">Mesi 55-60: Preparazione per la Fase Successiva</w:t>
      </w:r>
      <w:bookmarkEnd w:id="56"/>
    </w:p>
    <w:p>
      <w:pPr>
        <w:numPr>
          <w:ilvl w:val="0"/>
          <w:numId w:val="1072"/>
        </w:numPr>
        <w:pStyle w:val="Compact"/>
      </w:pPr>
      <w:r>
        <w:rPr>
          <w:b/>
        </w:rPr>
        <w:t xml:space="preserve">Valutazione delle opzioni di finanziamento</w:t>
      </w:r>
      <w:r>
        <w:t xml:space="preserve"> </w:t>
      </w:r>
      <w:r>
        <w:t xml:space="preserve">(Mesi 55-56)</w:t>
      </w:r>
    </w:p>
    <w:p>
      <w:pPr>
        <w:numPr>
          <w:ilvl w:val="1"/>
          <w:numId w:val="1073"/>
        </w:numPr>
        <w:pStyle w:val="Compact"/>
      </w:pPr>
      <w:r>
        <w:t xml:space="preserve">Analisi del fabbisogno finanziario</w:t>
      </w:r>
    </w:p>
    <w:p>
      <w:pPr>
        <w:numPr>
          <w:ilvl w:val="1"/>
          <w:numId w:val="1073"/>
        </w:numPr>
        <w:pStyle w:val="Compact"/>
      </w:pPr>
      <w:r>
        <w:t xml:space="preserve">Identificazione delle potenziali fonti</w:t>
      </w:r>
    </w:p>
    <w:p>
      <w:pPr>
        <w:numPr>
          <w:ilvl w:val="1"/>
          <w:numId w:val="1073"/>
        </w:numPr>
        <w:pStyle w:val="Compact"/>
      </w:pPr>
      <w:r>
        <w:t xml:space="preserve">Preparazione della documentazione</w:t>
      </w:r>
    </w:p>
    <w:p>
      <w:pPr>
        <w:numPr>
          <w:ilvl w:val="0"/>
          <w:numId w:val="1072"/>
        </w:numPr>
        <w:pStyle w:val="Compact"/>
      </w:pPr>
      <w:r>
        <w:rPr>
          <w:b/>
        </w:rPr>
        <w:t xml:space="preserve">Preparazione per un potenziale round Series A</w:t>
      </w:r>
      <w:r>
        <w:t xml:space="preserve"> </w:t>
      </w:r>
      <w:r>
        <w:t xml:space="preserve">(Mesi 57-58)</w:t>
      </w:r>
    </w:p>
    <w:p>
      <w:pPr>
        <w:numPr>
          <w:ilvl w:val="1"/>
          <w:numId w:val="1074"/>
        </w:numPr>
        <w:pStyle w:val="Compact"/>
      </w:pPr>
      <w:r>
        <w:t xml:space="preserve">Sviluppo del pitch deck</w:t>
      </w:r>
    </w:p>
    <w:p>
      <w:pPr>
        <w:numPr>
          <w:ilvl w:val="1"/>
          <w:numId w:val="1074"/>
        </w:numPr>
        <w:pStyle w:val="Compact"/>
      </w:pPr>
      <w:r>
        <w:t xml:space="preserve">Contatto con potenziali investitori</w:t>
      </w:r>
    </w:p>
    <w:p>
      <w:pPr>
        <w:numPr>
          <w:ilvl w:val="1"/>
          <w:numId w:val="1074"/>
        </w:numPr>
        <w:pStyle w:val="Compact"/>
      </w:pPr>
      <w:r>
        <w:t xml:space="preserve">Definizione della valutazione target</w:t>
      </w:r>
    </w:p>
    <w:p>
      <w:pPr>
        <w:numPr>
          <w:ilvl w:val="0"/>
          <w:numId w:val="1072"/>
        </w:numPr>
        <w:pStyle w:val="Compact"/>
      </w:pPr>
      <w:r>
        <w:rPr>
          <w:b/>
        </w:rPr>
        <w:t xml:space="preserve">Pianificazione strategica a lungo termine</w:t>
      </w:r>
      <w:r>
        <w:t xml:space="preserve"> </w:t>
      </w:r>
      <w:r>
        <w:t xml:space="preserve">(Mesi 59-60)</w:t>
      </w:r>
    </w:p>
    <w:p>
      <w:pPr>
        <w:numPr>
          <w:ilvl w:val="1"/>
          <w:numId w:val="1075"/>
        </w:numPr>
        <w:pStyle w:val="Compact"/>
      </w:pPr>
      <w:r>
        <w:t xml:space="preserve">Definizione della visione a 5-10 anni</w:t>
      </w:r>
    </w:p>
    <w:p>
      <w:pPr>
        <w:numPr>
          <w:ilvl w:val="1"/>
          <w:numId w:val="1075"/>
        </w:numPr>
        <w:pStyle w:val="Compact"/>
      </w:pPr>
      <w:r>
        <w:t xml:space="preserve">Valutazione delle opzioni di exit</w:t>
      </w:r>
    </w:p>
    <w:p>
      <w:pPr>
        <w:numPr>
          <w:ilvl w:val="1"/>
          <w:numId w:val="1075"/>
        </w:numPr>
        <w:pStyle w:val="Compact"/>
      </w:pPr>
      <w:r>
        <w:t xml:space="preserve">Sviluppo di scenari strategici</w:t>
      </w:r>
    </w:p>
    <w:p>
      <w:pPr>
        <w:pStyle w:val="Heading3"/>
      </w:pPr>
      <w:bookmarkStart w:id="57" w:name="milestone-e-deliverable-3"/>
      <w:r>
        <w:t xml:space="preserve">Milestone e Deliverable</w:t>
      </w:r>
      <w:bookmarkEnd w:id="57"/>
    </w:p>
    <w:p>
      <w:pPr>
        <w:numPr>
          <w:ilvl w:val="0"/>
          <w:numId w:val="1076"/>
        </w:numPr>
        <w:pStyle w:val="Compact"/>
      </w:pPr>
      <w:r>
        <w:rPr>
          <w:b/>
        </w:rPr>
        <w:t xml:space="preserve">M4.1</w:t>
      </w:r>
      <w:r>
        <w:t xml:space="preserve">: Strategia di internazionalizzazione definita (Mese 40)</w:t>
      </w:r>
    </w:p>
    <w:p>
      <w:pPr>
        <w:numPr>
          <w:ilvl w:val="0"/>
          <w:numId w:val="1076"/>
        </w:numPr>
        <w:pStyle w:val="Compact"/>
      </w:pPr>
      <w:r>
        <w:rPr>
          <w:b/>
        </w:rPr>
        <w:t xml:space="preserve">M4.2</w:t>
      </w:r>
      <w:r>
        <w:t xml:space="preserve">: Operazioni avviate in almeno 2 nuovi mercati (Mese 42)</w:t>
      </w:r>
    </w:p>
    <w:p>
      <w:pPr>
        <w:numPr>
          <w:ilvl w:val="0"/>
          <w:numId w:val="1076"/>
        </w:numPr>
        <w:pStyle w:val="Compact"/>
      </w:pPr>
      <w:r>
        <w:rPr>
          <w:b/>
        </w:rPr>
        <w:t xml:space="preserve">M4.3</w:t>
      </w:r>
      <w:r>
        <w:t xml:space="preserve">: Almeno 2 nuovi materiali 2D in fase di sviluppo (Mese 44)</w:t>
      </w:r>
    </w:p>
    <w:p>
      <w:pPr>
        <w:numPr>
          <w:ilvl w:val="0"/>
          <w:numId w:val="1076"/>
        </w:numPr>
        <w:pStyle w:val="Compact"/>
      </w:pPr>
      <w:r>
        <w:rPr>
          <w:b/>
        </w:rPr>
        <w:t xml:space="preserve">M4.4</w:t>
      </w:r>
      <w:r>
        <w:t xml:space="preserve">: Nuova linea di prodotto lanciata (Mese 48)</w:t>
      </w:r>
    </w:p>
    <w:p>
      <w:pPr>
        <w:numPr>
          <w:ilvl w:val="0"/>
          <w:numId w:val="1076"/>
        </w:numPr>
        <w:pStyle w:val="Compact"/>
      </w:pPr>
      <w:r>
        <w:rPr>
          <w:b/>
        </w:rPr>
        <w:t xml:space="preserve">M4.5</w:t>
      </w:r>
      <w:r>
        <w:t xml:space="preserve">: Almeno 2 partnership strategiche attivate (Mese 52)</w:t>
      </w:r>
    </w:p>
    <w:p>
      <w:pPr>
        <w:numPr>
          <w:ilvl w:val="0"/>
          <w:numId w:val="1076"/>
        </w:numPr>
        <w:pStyle w:val="Compact"/>
      </w:pPr>
      <w:r>
        <w:rPr>
          <w:b/>
        </w:rPr>
        <w:t xml:space="preserve">M4.6</w:t>
      </w:r>
      <w:r>
        <w:t xml:space="preserve">: Documentazione per round Series A preparata (Mese 58)</w:t>
      </w:r>
    </w:p>
    <w:p>
      <w:pPr>
        <w:numPr>
          <w:ilvl w:val="0"/>
          <w:numId w:val="1076"/>
        </w:numPr>
        <w:pStyle w:val="Compact"/>
      </w:pPr>
      <w:r>
        <w:rPr>
          <w:b/>
        </w:rPr>
        <w:t xml:space="preserve">M4.7</w:t>
      </w:r>
      <w:r>
        <w:t xml:space="preserve">: Piano strategico a lungo termine definito (Mese 60)</w:t>
      </w:r>
    </w:p>
    <w:p>
      <w:pPr>
        <w:pStyle w:val="Heading3"/>
      </w:pPr>
      <w:bookmarkStart w:id="58" w:name="kpi-e-metriche-di-successo-3"/>
      <w:r>
        <w:t xml:space="preserve">KPI e Metriche di Successo</w:t>
      </w:r>
      <w:bookmarkEnd w:id="58"/>
    </w:p>
    <w:p>
      <w:pPr>
        <w:numPr>
          <w:ilvl w:val="0"/>
          <w:numId w:val="1077"/>
        </w:numPr>
        <w:pStyle w:val="Compact"/>
      </w:pPr>
      <w:r>
        <w:t xml:space="preserve">Ricavi annuali: ≥ 2,5 milioni di €</w:t>
      </w:r>
    </w:p>
    <w:p>
      <w:pPr>
        <w:numPr>
          <w:ilvl w:val="0"/>
          <w:numId w:val="1077"/>
        </w:numPr>
        <w:pStyle w:val="Compact"/>
      </w:pPr>
      <w:r>
        <w:t xml:space="preserve">Percentuale di ricavi da mercati internazionali: ≥ 30%</w:t>
      </w:r>
    </w:p>
    <w:p>
      <w:pPr>
        <w:numPr>
          <w:ilvl w:val="0"/>
          <w:numId w:val="1077"/>
        </w:numPr>
        <w:pStyle w:val="Compact"/>
      </w:pPr>
      <w:r>
        <w:t xml:space="preserve">Numero di nuove linee di prodotto: ≥ 2</w:t>
      </w:r>
    </w:p>
    <w:p>
      <w:pPr>
        <w:numPr>
          <w:ilvl w:val="0"/>
          <w:numId w:val="1077"/>
        </w:numPr>
        <w:pStyle w:val="Compact"/>
      </w:pPr>
      <w:r>
        <w:t xml:space="preserve">Numero di partnership strategiche: ≥ 2</w:t>
      </w:r>
    </w:p>
    <w:p>
      <w:pPr>
        <w:numPr>
          <w:ilvl w:val="0"/>
          <w:numId w:val="1077"/>
        </w:numPr>
        <w:pStyle w:val="Compact"/>
      </w:pPr>
      <w:r>
        <w:t xml:space="preserve">EBITDA: ≥ 20% dei ricavi</w:t>
      </w:r>
    </w:p>
    <w:p>
      <w:pPr>
        <w:pStyle w:val="Heading2"/>
      </w:pPr>
      <w:bookmarkStart w:id="59" w:name="fattori-critici-di-successo"/>
      <w:r>
        <w:t xml:space="preserve">Fattori Critici di Successo</w:t>
      </w:r>
      <w:bookmarkEnd w:id="59"/>
    </w:p>
    <w:p>
      <w:pPr>
        <w:pStyle w:val="Heading3"/>
      </w:pPr>
      <w:bookmarkStart w:id="60" w:name="tecnologia-e-innovazione"/>
      <w:r>
        <w:t xml:space="preserve">Tecnologia e Innovazione</w:t>
      </w:r>
      <w:bookmarkEnd w:id="60"/>
    </w:p>
    <w:p>
      <w:pPr>
        <w:numPr>
          <w:ilvl w:val="0"/>
          <w:numId w:val="1078"/>
        </w:numPr>
        <w:pStyle w:val="Compact"/>
      </w:pPr>
      <w:r>
        <w:t xml:space="preserve">Mantenere un elevato ritmo di innovazione</w:t>
      </w:r>
    </w:p>
    <w:p>
      <w:pPr>
        <w:numPr>
          <w:ilvl w:val="0"/>
          <w:numId w:val="1078"/>
        </w:numPr>
        <w:pStyle w:val="Compact"/>
      </w:pPr>
      <w:r>
        <w:t xml:space="preserve">Proteggere adeguatamente la proprietà intellettuale</w:t>
      </w:r>
    </w:p>
    <w:p>
      <w:pPr>
        <w:numPr>
          <w:ilvl w:val="0"/>
          <w:numId w:val="1078"/>
        </w:numPr>
        <w:pStyle w:val="Compact"/>
      </w:pPr>
      <w:r>
        <w:t xml:space="preserve">Sviluppare competenze distintive nei materiali 2D</w:t>
      </w:r>
    </w:p>
    <w:p>
      <w:pPr>
        <w:numPr>
          <w:ilvl w:val="0"/>
          <w:numId w:val="1078"/>
        </w:numPr>
        <w:pStyle w:val="Compact"/>
      </w:pPr>
      <w:r>
        <w:t xml:space="preserve">Monitorare costantemente le tendenze tecnologiche</w:t>
      </w:r>
    </w:p>
    <w:p>
      <w:pPr>
        <w:pStyle w:val="Heading3"/>
      </w:pPr>
      <w:bookmarkStart w:id="61" w:name="mercato-e-clienti"/>
      <w:r>
        <w:t xml:space="preserve">Mercato e Clienti</w:t>
      </w:r>
      <w:bookmarkEnd w:id="61"/>
    </w:p>
    <w:p>
      <w:pPr>
        <w:numPr>
          <w:ilvl w:val="0"/>
          <w:numId w:val="1079"/>
        </w:numPr>
        <w:pStyle w:val="Compact"/>
      </w:pPr>
      <w:r>
        <w:t xml:space="preserve">Comprendere profondamente le esigenze dei clienti</w:t>
      </w:r>
    </w:p>
    <w:p>
      <w:pPr>
        <w:numPr>
          <w:ilvl w:val="0"/>
          <w:numId w:val="1079"/>
        </w:numPr>
        <w:pStyle w:val="Compact"/>
      </w:pPr>
      <w:r>
        <w:t xml:space="preserve">Dimostrare il valore aggiunto delle soluzioni proposte</w:t>
      </w:r>
    </w:p>
    <w:p>
      <w:pPr>
        <w:numPr>
          <w:ilvl w:val="0"/>
          <w:numId w:val="1079"/>
        </w:numPr>
        <w:pStyle w:val="Compact"/>
      </w:pPr>
      <w:r>
        <w:t xml:space="preserve">Sviluppare relazioni di lungo termine con clienti chiave</w:t>
      </w:r>
    </w:p>
    <w:p>
      <w:pPr>
        <w:numPr>
          <w:ilvl w:val="0"/>
          <w:numId w:val="1079"/>
        </w:numPr>
        <w:pStyle w:val="Compact"/>
      </w:pPr>
      <w:r>
        <w:t xml:space="preserve">Adattarsi rapidamente all’evoluzione del mercato</w:t>
      </w:r>
    </w:p>
    <w:p>
      <w:pPr>
        <w:pStyle w:val="Heading3"/>
      </w:pPr>
      <w:bookmarkStart w:id="62" w:name="operazioni-e-produzione"/>
      <w:r>
        <w:t xml:space="preserve">Operazioni e Produzione</w:t>
      </w:r>
      <w:bookmarkEnd w:id="62"/>
    </w:p>
    <w:p>
      <w:pPr>
        <w:numPr>
          <w:ilvl w:val="0"/>
          <w:numId w:val="1080"/>
        </w:numPr>
        <w:pStyle w:val="Compact"/>
      </w:pPr>
      <w:r>
        <w:t xml:space="preserve">Garantire la qualità e la consistenza dei prodotti</w:t>
      </w:r>
    </w:p>
    <w:p>
      <w:pPr>
        <w:numPr>
          <w:ilvl w:val="0"/>
          <w:numId w:val="1080"/>
        </w:numPr>
        <w:pStyle w:val="Compact"/>
      </w:pPr>
      <w:r>
        <w:t xml:space="preserve">Ottimizzare i processi produttivi per ridurre i costi</w:t>
      </w:r>
    </w:p>
    <w:p>
      <w:pPr>
        <w:numPr>
          <w:ilvl w:val="0"/>
          <w:numId w:val="1080"/>
        </w:numPr>
        <w:pStyle w:val="Compact"/>
      </w:pPr>
      <w:r>
        <w:t xml:space="preserve">Sviluppare una supply chain resiliente</w:t>
      </w:r>
    </w:p>
    <w:p>
      <w:pPr>
        <w:numPr>
          <w:ilvl w:val="0"/>
          <w:numId w:val="1080"/>
        </w:numPr>
        <w:pStyle w:val="Compact"/>
      </w:pPr>
      <w:r>
        <w:t xml:space="preserve">Implementare pratiche sostenibili</w:t>
      </w:r>
    </w:p>
    <w:p>
      <w:pPr>
        <w:pStyle w:val="Heading3"/>
      </w:pPr>
      <w:bookmarkStart w:id="63" w:name="organizzazione-e-persone"/>
      <w:r>
        <w:t xml:space="preserve">Organizzazione e Persone</w:t>
      </w:r>
      <w:bookmarkEnd w:id="63"/>
    </w:p>
    <w:p>
      <w:pPr>
        <w:numPr>
          <w:ilvl w:val="0"/>
          <w:numId w:val="1081"/>
        </w:numPr>
        <w:pStyle w:val="Compact"/>
      </w:pPr>
      <w:r>
        <w:t xml:space="preserve">Attrarre e trattenere talenti chiave</w:t>
      </w:r>
    </w:p>
    <w:p>
      <w:pPr>
        <w:numPr>
          <w:ilvl w:val="0"/>
          <w:numId w:val="1081"/>
        </w:numPr>
        <w:pStyle w:val="Compact"/>
      </w:pPr>
      <w:r>
        <w:t xml:space="preserve">Sviluppare una cultura aziendale orientata all’innovazione</w:t>
      </w:r>
    </w:p>
    <w:p>
      <w:pPr>
        <w:numPr>
          <w:ilvl w:val="0"/>
          <w:numId w:val="1081"/>
        </w:numPr>
        <w:pStyle w:val="Compact"/>
      </w:pPr>
      <w:r>
        <w:t xml:space="preserve">Implementare processi decisionali efficaci</w:t>
      </w:r>
    </w:p>
    <w:p>
      <w:pPr>
        <w:numPr>
          <w:ilvl w:val="0"/>
          <w:numId w:val="1081"/>
        </w:numPr>
        <w:pStyle w:val="Compact"/>
      </w:pPr>
      <w:r>
        <w:t xml:space="preserve">Mantenere l’agilità organizzativa durante la crescita</w:t>
      </w:r>
    </w:p>
    <w:p>
      <w:pPr>
        <w:pStyle w:val="Heading3"/>
      </w:pPr>
      <w:bookmarkStart w:id="64" w:name="finanza-e-risorse"/>
      <w:r>
        <w:t xml:space="preserve">Finanza e Risorse</w:t>
      </w:r>
      <w:bookmarkEnd w:id="64"/>
    </w:p>
    <w:p>
      <w:pPr>
        <w:numPr>
          <w:ilvl w:val="0"/>
          <w:numId w:val="1082"/>
        </w:numPr>
        <w:pStyle w:val="Compact"/>
      </w:pPr>
      <w:r>
        <w:t xml:space="preserve">Gestire efficacemente il capitale circolante</w:t>
      </w:r>
    </w:p>
    <w:p>
      <w:pPr>
        <w:numPr>
          <w:ilvl w:val="0"/>
          <w:numId w:val="1082"/>
        </w:numPr>
        <w:pStyle w:val="Compact"/>
      </w:pPr>
      <w:r>
        <w:t xml:space="preserve">Assicurare un adeguato accesso a finanziamenti</w:t>
      </w:r>
    </w:p>
    <w:p>
      <w:pPr>
        <w:numPr>
          <w:ilvl w:val="0"/>
          <w:numId w:val="1082"/>
        </w:numPr>
        <w:pStyle w:val="Compact"/>
      </w:pPr>
      <w:r>
        <w:t xml:space="preserve">Allocare le risorse in modo strategico</w:t>
      </w:r>
    </w:p>
    <w:p>
      <w:pPr>
        <w:numPr>
          <w:ilvl w:val="0"/>
          <w:numId w:val="1082"/>
        </w:numPr>
        <w:pStyle w:val="Compact"/>
      </w:pPr>
      <w:r>
        <w:t xml:space="preserve">Monitorare e controllare i costi</w:t>
      </w:r>
    </w:p>
    <w:p>
      <w:pPr>
        <w:pStyle w:val="Heading2"/>
      </w:pPr>
      <w:bookmarkStart w:id="65" w:name="gestione-dei-rischi"/>
      <w:r>
        <w:t xml:space="preserve">Gestione dei Rischi</w:t>
      </w:r>
      <w:bookmarkEnd w:id="65"/>
    </w:p>
    <w:p>
      <w:pPr>
        <w:pStyle w:val="Heading3"/>
      </w:pPr>
      <w:bookmarkStart w:id="66" w:name="rischi-tecnologici"/>
      <w:r>
        <w:t xml:space="preserve">Rischi Tecnologici</w:t>
      </w:r>
      <w:bookmarkEnd w:id="66"/>
    </w:p>
    <w:p>
      <w:pPr>
        <w:numPr>
          <w:ilvl w:val="0"/>
          <w:numId w:val="1083"/>
        </w:numPr>
        <w:pStyle w:val="Compact"/>
      </w:pPr>
      <w:r>
        <w:rPr>
          <w:b/>
        </w:rPr>
        <w:t xml:space="preserve">Rischio</w:t>
      </w:r>
      <w:r>
        <w:t xml:space="preserve">: Difficoltà nello scaling dei processi di produzione</w:t>
      </w:r>
    </w:p>
    <w:p>
      <w:pPr>
        <w:numPr>
          <w:ilvl w:val="1"/>
          <w:numId w:val="1084"/>
        </w:numPr>
        <w:pStyle w:val="Compact"/>
      </w:pPr>
      <w:r>
        <w:rPr>
          <w:b/>
        </w:rPr>
        <w:t xml:space="preserve">Mitigazione</w:t>
      </w:r>
      <w:r>
        <w:t xml:space="preserve">: Sviluppo incrementale, test pilota, collaborazione con partner industriali</w:t>
      </w:r>
    </w:p>
    <w:p>
      <w:pPr>
        <w:numPr>
          <w:ilvl w:val="0"/>
          <w:numId w:val="1083"/>
        </w:numPr>
        <w:pStyle w:val="Compact"/>
      </w:pPr>
      <w:r>
        <w:rPr>
          <w:b/>
        </w:rPr>
        <w:t xml:space="preserve">Rischio</w:t>
      </w:r>
      <w:r>
        <w:t xml:space="preserve">: Prestazioni dei prodotti inferiori alle aspettative</w:t>
      </w:r>
    </w:p>
    <w:p>
      <w:pPr>
        <w:numPr>
          <w:ilvl w:val="1"/>
          <w:numId w:val="1085"/>
        </w:numPr>
        <w:pStyle w:val="Compact"/>
      </w:pPr>
      <w:r>
        <w:rPr>
          <w:b/>
        </w:rPr>
        <w:t xml:space="preserve">Mitigazione</w:t>
      </w:r>
      <w:r>
        <w:t xml:space="preserve">: Rigorosi test di validazione, gestione delle aspettative dei clienti, miglioramento continuo</w:t>
      </w:r>
    </w:p>
    <w:p>
      <w:pPr>
        <w:numPr>
          <w:ilvl w:val="0"/>
          <w:numId w:val="1083"/>
        </w:numPr>
        <w:pStyle w:val="Compact"/>
      </w:pPr>
      <w:r>
        <w:rPr>
          <w:b/>
        </w:rPr>
        <w:t xml:space="preserve">Rischio</w:t>
      </w:r>
      <w:r>
        <w:t xml:space="preserve">: Emergere di tecnologie alternative</w:t>
      </w:r>
    </w:p>
    <w:p>
      <w:pPr>
        <w:numPr>
          <w:ilvl w:val="1"/>
          <w:numId w:val="1086"/>
        </w:numPr>
        <w:pStyle w:val="Compact"/>
      </w:pPr>
      <w:r>
        <w:rPr>
          <w:b/>
        </w:rPr>
        <w:t xml:space="preserve">Mitigazione</w:t>
      </w:r>
      <w:r>
        <w:t xml:space="preserve">: Monitoraggio continuo delle tendenze tecnologiche, diversificazione del portafoglio, flessibilità strategica</w:t>
      </w:r>
    </w:p>
    <w:p>
      <w:pPr>
        <w:pStyle w:val="Heading3"/>
      </w:pPr>
      <w:bookmarkStart w:id="67" w:name="rischi-di-mercato"/>
      <w:r>
        <w:t xml:space="preserve">Rischi di Mercato</w:t>
      </w:r>
      <w:bookmarkEnd w:id="67"/>
    </w:p>
    <w:p>
      <w:pPr>
        <w:numPr>
          <w:ilvl w:val="0"/>
          <w:numId w:val="1087"/>
        </w:numPr>
        <w:pStyle w:val="Compact"/>
      </w:pPr>
      <w:r>
        <w:rPr>
          <w:b/>
        </w:rPr>
        <w:t xml:space="preserve">Rischio</w:t>
      </w:r>
      <w:r>
        <w:t xml:space="preserve">: Adozione più lenta del previsto</w:t>
      </w:r>
    </w:p>
    <w:p>
      <w:pPr>
        <w:numPr>
          <w:ilvl w:val="1"/>
          <w:numId w:val="1088"/>
        </w:numPr>
        <w:pStyle w:val="Compact"/>
      </w:pPr>
      <w:r>
        <w:rPr>
          <w:b/>
        </w:rPr>
        <w:t xml:space="preserve">Mitigazione</w:t>
      </w:r>
      <w:r>
        <w:t xml:space="preserve">: Progetti pilota dimostrativi, garanzie di prestazione, supporto tecnico dedicato</w:t>
      </w:r>
    </w:p>
    <w:p>
      <w:pPr>
        <w:numPr>
          <w:ilvl w:val="0"/>
          <w:numId w:val="1087"/>
        </w:numPr>
        <w:pStyle w:val="Compact"/>
      </w:pPr>
      <w:r>
        <w:rPr>
          <w:b/>
        </w:rPr>
        <w:t xml:space="preserve">Rischio</w:t>
      </w:r>
      <w:r>
        <w:t xml:space="preserve">: Pressione competitiva sui prezzi</w:t>
      </w:r>
    </w:p>
    <w:p>
      <w:pPr>
        <w:numPr>
          <w:ilvl w:val="1"/>
          <w:numId w:val="1089"/>
        </w:numPr>
        <w:pStyle w:val="Compact"/>
      </w:pPr>
      <w:r>
        <w:rPr>
          <w:b/>
        </w:rPr>
        <w:t xml:space="preserve">Mitigazione</w:t>
      </w:r>
      <w:r>
        <w:t xml:space="preserve">: Differenziazione dell’offerta, focus su segmenti ad alto valore aggiunto, ottimizzazione dei costi</w:t>
      </w:r>
    </w:p>
    <w:p>
      <w:pPr>
        <w:numPr>
          <w:ilvl w:val="0"/>
          <w:numId w:val="1087"/>
        </w:numPr>
        <w:pStyle w:val="Compact"/>
      </w:pPr>
      <w:r>
        <w:rPr>
          <w:b/>
        </w:rPr>
        <w:t xml:space="preserve">Rischio</w:t>
      </w:r>
      <w:r>
        <w:t xml:space="preserve">: Cambiamenti nelle preferenze dei clienti</w:t>
      </w:r>
    </w:p>
    <w:p>
      <w:pPr>
        <w:numPr>
          <w:ilvl w:val="1"/>
          <w:numId w:val="1090"/>
        </w:numPr>
        <w:pStyle w:val="Compact"/>
      </w:pPr>
      <w:r>
        <w:rPr>
          <w:b/>
        </w:rPr>
        <w:t xml:space="preserve">Mitigazione</w:t>
      </w:r>
      <w:r>
        <w:t xml:space="preserve">: Monitoraggio continuo del mercato, agilità nello sviluppo prodotti, coinvolgimento dei clienti chiave</w:t>
      </w:r>
    </w:p>
    <w:p>
      <w:pPr>
        <w:pStyle w:val="Heading3"/>
      </w:pPr>
      <w:bookmarkStart w:id="68" w:name="rischi-operativi"/>
      <w:r>
        <w:t xml:space="preserve">Rischi Operativi</w:t>
      </w:r>
      <w:bookmarkEnd w:id="68"/>
    </w:p>
    <w:p>
      <w:pPr>
        <w:numPr>
          <w:ilvl w:val="0"/>
          <w:numId w:val="1091"/>
        </w:numPr>
        <w:pStyle w:val="Compact"/>
      </w:pPr>
      <w:r>
        <w:rPr>
          <w:b/>
        </w:rPr>
        <w:t xml:space="preserve">Rischio</w:t>
      </w:r>
      <w:r>
        <w:t xml:space="preserve">: Difficoltà nell’approvvigionamento di materie prime</w:t>
      </w:r>
    </w:p>
    <w:p>
      <w:pPr>
        <w:numPr>
          <w:ilvl w:val="1"/>
          <w:numId w:val="1092"/>
        </w:numPr>
        <w:pStyle w:val="Compact"/>
      </w:pPr>
      <w:r>
        <w:rPr>
          <w:b/>
        </w:rPr>
        <w:t xml:space="preserve">Mitigazione</w:t>
      </w:r>
      <w:r>
        <w:t xml:space="preserve">: Diversificazione dei fornitori, contratti a lungo termine, scorte strategiche</w:t>
      </w:r>
    </w:p>
    <w:p>
      <w:pPr>
        <w:numPr>
          <w:ilvl w:val="0"/>
          <w:numId w:val="1091"/>
        </w:numPr>
        <w:pStyle w:val="Compact"/>
      </w:pPr>
      <w:r>
        <w:rPr>
          <w:b/>
        </w:rPr>
        <w:t xml:space="preserve">Rischio</w:t>
      </w:r>
      <w:r>
        <w:t xml:space="preserve">: Problemi di qualità o conformità</w:t>
      </w:r>
    </w:p>
    <w:p>
      <w:pPr>
        <w:numPr>
          <w:ilvl w:val="1"/>
          <w:numId w:val="1093"/>
        </w:numPr>
        <w:pStyle w:val="Compact"/>
      </w:pPr>
      <w:r>
        <w:rPr>
          <w:b/>
        </w:rPr>
        <w:t xml:space="preserve">Mitigazione</w:t>
      </w:r>
      <w:r>
        <w:t xml:space="preserve">: Rigorosi sistemi di controllo qualità, certificazioni, formazione continua</w:t>
      </w:r>
    </w:p>
    <w:p>
      <w:pPr>
        <w:numPr>
          <w:ilvl w:val="0"/>
          <w:numId w:val="1091"/>
        </w:numPr>
        <w:pStyle w:val="Compact"/>
      </w:pPr>
      <w:r>
        <w:rPr>
          <w:b/>
        </w:rPr>
        <w:t xml:space="preserve">Rischio</w:t>
      </w:r>
      <w:r>
        <w:t xml:space="preserve">: Ritardi nell’implementazione</w:t>
      </w:r>
    </w:p>
    <w:p>
      <w:pPr>
        <w:numPr>
          <w:ilvl w:val="1"/>
          <w:numId w:val="1094"/>
        </w:numPr>
        <w:pStyle w:val="Compact"/>
      </w:pPr>
      <w:r>
        <w:rPr>
          <w:b/>
        </w:rPr>
        <w:t xml:space="preserve">Mitigazione</w:t>
      </w:r>
      <w:r>
        <w:t xml:space="preserve">: Pianificazione dettagliata, monitoraggio regolare, gestione attiva dei progetti</w:t>
      </w:r>
    </w:p>
    <w:p>
      <w:pPr>
        <w:pStyle w:val="Heading3"/>
      </w:pPr>
      <w:bookmarkStart w:id="69" w:name="rischi-finanziari"/>
      <w:r>
        <w:t xml:space="preserve">Rischi Finanziari</w:t>
      </w:r>
      <w:bookmarkEnd w:id="69"/>
    </w:p>
    <w:p>
      <w:pPr>
        <w:numPr>
          <w:ilvl w:val="0"/>
          <w:numId w:val="1095"/>
        </w:numPr>
        <w:pStyle w:val="Compact"/>
      </w:pPr>
      <w:r>
        <w:rPr>
          <w:b/>
        </w:rPr>
        <w:t xml:space="preserve">Rischio</w:t>
      </w:r>
      <w:r>
        <w:t xml:space="preserve">: Insufficienza di capitale per finanziare la crescita</w:t>
      </w:r>
    </w:p>
    <w:p>
      <w:pPr>
        <w:numPr>
          <w:ilvl w:val="1"/>
          <w:numId w:val="1096"/>
        </w:numPr>
        <w:pStyle w:val="Compact"/>
      </w:pPr>
      <w:r>
        <w:rPr>
          <w:b/>
        </w:rPr>
        <w:t xml:space="preserve">Mitigazione</w:t>
      </w:r>
      <w:r>
        <w:t xml:space="preserve">: Piano di finanziamento scaglionato, milestone chiare, relazioni con più investitori</w:t>
      </w:r>
    </w:p>
    <w:p>
      <w:pPr>
        <w:numPr>
          <w:ilvl w:val="0"/>
          <w:numId w:val="1095"/>
        </w:numPr>
        <w:pStyle w:val="Compact"/>
      </w:pPr>
      <w:r>
        <w:rPr>
          <w:b/>
        </w:rPr>
        <w:t xml:space="preserve">Rischio</w:t>
      </w:r>
      <w:r>
        <w:t xml:space="preserve">: Costi di sviluppo superiori alle previsioni</w:t>
      </w:r>
    </w:p>
    <w:p>
      <w:pPr>
        <w:numPr>
          <w:ilvl w:val="1"/>
          <w:numId w:val="1097"/>
        </w:numPr>
        <w:pStyle w:val="Compact"/>
      </w:pPr>
      <w:r>
        <w:rPr>
          <w:b/>
        </w:rPr>
        <w:t xml:space="preserve">Mitigazione</w:t>
      </w:r>
      <w:r>
        <w:t xml:space="preserve">: Budget conservativi, monitoraggio costante, riserve di contingenza</w:t>
      </w:r>
    </w:p>
    <w:p>
      <w:pPr>
        <w:numPr>
          <w:ilvl w:val="0"/>
          <w:numId w:val="1095"/>
        </w:numPr>
        <w:pStyle w:val="Compact"/>
      </w:pPr>
      <w:r>
        <w:rPr>
          <w:b/>
        </w:rPr>
        <w:t xml:space="preserve">Rischio</w:t>
      </w:r>
      <w:r>
        <w:t xml:space="preserve">: Fluttuazioni nei tassi di cambio (per operazioni internazionali)</w:t>
      </w:r>
    </w:p>
    <w:p>
      <w:pPr>
        <w:numPr>
          <w:ilvl w:val="1"/>
          <w:numId w:val="1098"/>
        </w:numPr>
        <w:pStyle w:val="Compact"/>
      </w:pPr>
      <w:r>
        <w:rPr>
          <w:b/>
        </w:rPr>
        <w:t xml:space="preserve">Mitigazione</w:t>
      </w:r>
      <w:r>
        <w:t xml:space="preserve">: Strategie di hedging, diversificazione geografica, pricing flessibile</w:t>
      </w:r>
    </w:p>
    <w:p>
      <w:pPr>
        <w:pStyle w:val="Heading2"/>
      </w:pPr>
      <w:bookmarkStart w:id="70" w:name="monitoraggio-e-revisione-della-roadmap"/>
      <w:r>
        <w:t xml:space="preserve">Monitoraggio e Revisione della Roadmap</w:t>
      </w:r>
      <w:bookmarkEnd w:id="70"/>
    </w:p>
    <w:p>
      <w:pPr>
        <w:pStyle w:val="Heading3"/>
      </w:pPr>
      <w:bookmarkStart w:id="71" w:name="processo-di-monitoraggio"/>
      <w:r>
        <w:t xml:space="preserve">Processo di Monitoraggio</w:t>
      </w:r>
      <w:bookmarkEnd w:id="71"/>
    </w:p>
    <w:p>
      <w:pPr>
        <w:numPr>
          <w:ilvl w:val="0"/>
          <w:numId w:val="1099"/>
        </w:numPr>
        <w:pStyle w:val="Compact"/>
      </w:pPr>
      <w:r>
        <w:t xml:space="preserve">Revisione mensile delle attività e dei progressi</w:t>
      </w:r>
    </w:p>
    <w:p>
      <w:pPr>
        <w:numPr>
          <w:ilvl w:val="0"/>
          <w:numId w:val="1099"/>
        </w:numPr>
        <w:pStyle w:val="Compact"/>
      </w:pPr>
      <w:r>
        <w:t xml:space="preserve">Valutazione trimestrale delle performance rispetto ai KPI</w:t>
      </w:r>
    </w:p>
    <w:p>
      <w:pPr>
        <w:numPr>
          <w:ilvl w:val="0"/>
          <w:numId w:val="1099"/>
        </w:numPr>
        <w:pStyle w:val="Compact"/>
      </w:pPr>
      <w:r>
        <w:t xml:space="preserve">Revisione semestrale della roadmap complessiva</w:t>
      </w:r>
    </w:p>
    <w:p>
      <w:pPr>
        <w:numPr>
          <w:ilvl w:val="0"/>
          <w:numId w:val="1099"/>
        </w:numPr>
        <w:pStyle w:val="Compact"/>
      </w:pPr>
      <w:r>
        <w:t xml:space="preserve">Aggiornamento annuale della strategia a lungo termine</w:t>
      </w:r>
    </w:p>
    <w:p>
      <w:pPr>
        <w:pStyle w:val="Heading3"/>
      </w:pPr>
      <w:bookmarkStart w:id="72" w:name="meccanismi-di-adattamento"/>
      <w:r>
        <w:t xml:space="preserve">Meccanismi di Adattamento</w:t>
      </w:r>
      <w:bookmarkEnd w:id="72"/>
    </w:p>
    <w:p>
      <w:pPr>
        <w:numPr>
          <w:ilvl w:val="0"/>
          <w:numId w:val="1100"/>
        </w:numPr>
        <w:pStyle w:val="Compact"/>
      </w:pPr>
      <w:r>
        <w:t xml:space="preserve">Processo strutturato per la gestione dei cambiamenti</w:t>
      </w:r>
    </w:p>
    <w:p>
      <w:pPr>
        <w:numPr>
          <w:ilvl w:val="0"/>
          <w:numId w:val="1100"/>
        </w:numPr>
        <w:pStyle w:val="Compact"/>
      </w:pPr>
      <w:r>
        <w:t xml:space="preserve">Revisione periodica delle ipotesi di base</w:t>
      </w:r>
    </w:p>
    <w:p>
      <w:pPr>
        <w:numPr>
          <w:ilvl w:val="0"/>
          <w:numId w:val="1100"/>
        </w:numPr>
        <w:pStyle w:val="Compact"/>
      </w:pPr>
      <w:r>
        <w:t xml:space="preserve">Flessibilità nell’allocazione delle risorse</w:t>
      </w:r>
    </w:p>
    <w:p>
      <w:pPr>
        <w:numPr>
          <w:ilvl w:val="0"/>
          <w:numId w:val="1100"/>
        </w:numPr>
        <w:pStyle w:val="Compact"/>
      </w:pPr>
      <w:r>
        <w:t xml:space="preserve">Apprendimento continuo dalle esperienze</w:t>
      </w:r>
    </w:p>
    <w:p>
      <w:pPr>
        <w:pStyle w:val="Heading3"/>
      </w:pPr>
      <w:bookmarkStart w:id="73" w:name="comunicazione-e-reporting"/>
      <w:r>
        <w:t xml:space="preserve">Comunicazione e Reporting</w:t>
      </w:r>
      <w:bookmarkEnd w:id="73"/>
    </w:p>
    <w:p>
      <w:pPr>
        <w:numPr>
          <w:ilvl w:val="0"/>
          <w:numId w:val="1101"/>
        </w:numPr>
        <w:pStyle w:val="Compact"/>
      </w:pPr>
      <w:r>
        <w:t xml:space="preserve">Reporting regolare agli stakeholder interni ed esterni</w:t>
      </w:r>
    </w:p>
    <w:p>
      <w:pPr>
        <w:numPr>
          <w:ilvl w:val="0"/>
          <w:numId w:val="1101"/>
        </w:numPr>
        <w:pStyle w:val="Compact"/>
      </w:pPr>
      <w:r>
        <w:t xml:space="preserve">Comunicazione trasparente dei progressi e delle sfide</w:t>
      </w:r>
    </w:p>
    <w:p>
      <w:pPr>
        <w:numPr>
          <w:ilvl w:val="0"/>
          <w:numId w:val="1101"/>
        </w:numPr>
        <w:pStyle w:val="Compact"/>
      </w:pPr>
      <w:r>
        <w:t xml:space="preserve">Celebrazione dei successi e delle milestone raggiunte</w:t>
      </w:r>
    </w:p>
    <w:p>
      <w:pPr>
        <w:numPr>
          <w:ilvl w:val="0"/>
          <w:numId w:val="1101"/>
        </w:numPr>
        <w:pStyle w:val="Compact"/>
      </w:pPr>
      <w:r>
        <w:t xml:space="preserve">Condivisione delle lezioni apprese</w:t>
      </w:r>
    </w:p>
    <w:p>
      <w:pPr>
        <w:pStyle w:val="Heading2"/>
      </w:pPr>
      <w:bookmarkStart w:id="74" w:name="conclusioni"/>
      <w:r>
        <w:t xml:space="preserve">Conclusioni</w:t>
      </w:r>
      <w:bookmarkEnd w:id="74"/>
    </w:p>
    <w:p>
      <w:pPr>
        <w:pStyle w:val="FirstParagraph"/>
      </w:pPr>
      <w:r>
        <w:t xml:space="preserve">Questa roadmap strategica fornisce un quadro dettagliato per lo sviluppo di una società innovativa nel settore dei materiali 2D, con particolare focus sul grafene. Il piano è stato progettato per bilanciare ambizione e realismo, definendo un percorso chiaro ma flessibile per navigare in un mercato in rapida evoluzione.</w:t>
      </w:r>
    </w:p>
    <w:p>
      <w:pPr>
        <w:pStyle w:val="BodyText"/>
      </w:pPr>
      <w:r>
        <w:t xml:space="preserve">L’implementazione di questa roadmap richiederà un impegno costante, una gestione attenta delle risorse e una capacità di adattamento alle mutevoli condizioni di mercato e tecnologiche. Tuttavia, con l’esecuzione disciplinata delle attività pianificate e il raggiungimento delle milestone definite, la società sarà ben posizionata per capitalizzare le significative opportunità offerte dal mercato emergente dei materiali 2D.</w:t>
      </w:r>
    </w:p>
    <w:p>
      <w:pPr>
        <w:pStyle w:val="BodyText"/>
      </w:pPr>
      <w:r>
        <w:t xml:space="preserve">Il successo di questa iniziativa non solo genererà valore per gli investitori e gli altri stakeholder, ma contribuirà anche all’avanzamento tecnologico in settori chiave dell’economia, promuovendo innovazione, sostenibilità e competitività industriale.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2025-04-11T06:17:45Z</dcterms:created>
  <dcterms:modified xsi:type="dcterms:W3CDTF">2025-04-11T06:17:45Z</dcterms:modified>
</cp:coreProperties>
</file>

<file path=docProps/custom.xml><?xml version="1.0" encoding="utf-8"?>
<Properties xmlns="http://schemas.openxmlformats.org/officeDocument/2006/custom-properties" xmlns:vt="http://schemas.openxmlformats.org/officeDocument/2006/docPropsVTypes"/>
</file>